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5A8C" w:rsidRDefault="008038B8">
      <w:pPr>
        <w:spacing w:after="0" w:line="240" w:lineRule="auto"/>
        <w:ind w:left="851"/>
        <w:jc w:val="center"/>
      </w:pPr>
      <w:r>
        <w:rPr>
          <w:b/>
          <w:color w:val="60497A"/>
          <w:sz w:val="28"/>
          <w:szCs w:val="28"/>
        </w:rPr>
        <w:t xml:space="preserve"> </w:t>
      </w:r>
      <w:r w:rsidR="006409DE">
        <w:rPr>
          <w:b/>
          <w:color w:val="60497A"/>
          <w:sz w:val="28"/>
          <w:szCs w:val="28"/>
        </w:rPr>
        <w:t>Tabla de aplicabilidad de las Obligaciones de transparencia comunes 2016 del/la &lt;&lt;sujeto obligado&gt;&gt;</w:t>
      </w:r>
    </w:p>
    <w:p w:rsidR="00A85A8C" w:rsidRDefault="00A85A8C">
      <w:pPr>
        <w:spacing w:after="0" w:line="240" w:lineRule="auto"/>
        <w:ind w:left="851"/>
        <w:jc w:val="both"/>
      </w:pPr>
    </w:p>
    <w:p w:rsidR="00A85A8C" w:rsidRDefault="00A85A8C">
      <w:pPr>
        <w:spacing w:after="0" w:line="240" w:lineRule="auto"/>
        <w:ind w:left="851"/>
        <w:jc w:val="both"/>
      </w:pPr>
    </w:p>
    <w:p w:rsidR="00A85A8C" w:rsidRDefault="006409DE">
      <w:pPr>
        <w:spacing w:after="0" w:line="240" w:lineRule="auto"/>
        <w:ind w:left="851"/>
        <w:jc w:val="both"/>
      </w:pPr>
      <w:r>
        <w:rPr>
          <w:b/>
          <w:i/>
          <w:color w:val="60497A"/>
          <w:sz w:val="24"/>
          <w:szCs w:val="24"/>
        </w:rPr>
        <w:t>Artículo 70.</w:t>
      </w:r>
      <w:r>
        <w:rPr>
          <w:i/>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Pr>
          <w:b/>
          <w:color w:val="60497A"/>
        </w:rPr>
        <w:t xml:space="preserve"> </w:t>
      </w:r>
    </w:p>
    <w:p w:rsidR="00A85A8C" w:rsidRDefault="00A85A8C">
      <w:pPr>
        <w:spacing w:after="0" w:line="240" w:lineRule="auto"/>
        <w:ind w:left="851"/>
        <w:jc w:val="both"/>
      </w:pPr>
    </w:p>
    <w:tbl>
      <w:tblPr>
        <w:tblStyle w:val="a"/>
        <w:tblW w:w="13461" w:type="dxa"/>
        <w:tblInd w:w="-7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Look w:val="0400" w:firstRow="0" w:lastRow="0" w:firstColumn="0" w:lastColumn="0" w:noHBand="0" w:noVBand="1"/>
      </w:tblPr>
      <w:tblGrid>
        <w:gridCol w:w="953"/>
        <w:gridCol w:w="1450"/>
        <w:gridCol w:w="1451"/>
        <w:gridCol w:w="744"/>
        <w:gridCol w:w="2911"/>
        <w:gridCol w:w="2833"/>
        <w:gridCol w:w="3119"/>
      </w:tblGrid>
      <w:tr w:rsidR="00A85A8C">
        <w:trPr>
          <w:trHeight w:val="120"/>
        </w:trPr>
        <w:tc>
          <w:tcPr>
            <w:tcW w:w="953" w:type="dxa"/>
            <w:vMerge w:val="restart"/>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6409DE">
            <w:pPr>
              <w:spacing w:after="0" w:line="240" w:lineRule="auto"/>
              <w:jc w:val="center"/>
            </w:pPr>
            <w:r>
              <w:rPr>
                <w:b/>
                <w:color w:val="FFFFFF"/>
                <w:sz w:val="20"/>
                <w:szCs w:val="20"/>
              </w:rPr>
              <w:t>Orden de gobierno</w:t>
            </w:r>
          </w:p>
        </w:tc>
        <w:tc>
          <w:tcPr>
            <w:tcW w:w="1450" w:type="dxa"/>
            <w:vMerge w:val="restart"/>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6409DE">
            <w:pPr>
              <w:spacing w:after="0" w:line="240" w:lineRule="auto"/>
              <w:jc w:val="center"/>
            </w:pPr>
            <w:r>
              <w:rPr>
                <w:b/>
                <w:color w:val="FFFFFF"/>
                <w:sz w:val="20"/>
                <w:szCs w:val="20"/>
              </w:rPr>
              <w:t>Poder de gobierno o ámbito al que pertenece</w:t>
            </w:r>
          </w:p>
        </w:tc>
        <w:tc>
          <w:tcPr>
            <w:tcW w:w="1451" w:type="dxa"/>
            <w:vMerge w:val="restart"/>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6409DE">
            <w:pPr>
              <w:spacing w:after="0" w:line="240" w:lineRule="auto"/>
              <w:jc w:val="center"/>
            </w:pPr>
            <w:r>
              <w:rPr>
                <w:b/>
                <w:color w:val="FFFFFF"/>
                <w:sz w:val="20"/>
                <w:szCs w:val="20"/>
              </w:rPr>
              <w:t>Tipo de sujeto obligado</w:t>
            </w:r>
          </w:p>
          <w:p w:rsidR="00A85A8C" w:rsidRDefault="00A85A8C">
            <w:pPr>
              <w:spacing w:after="0" w:line="240" w:lineRule="auto"/>
            </w:pPr>
          </w:p>
        </w:tc>
        <w:tc>
          <w:tcPr>
            <w:tcW w:w="9607" w:type="dxa"/>
            <w:gridSpan w:val="4"/>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6409DE">
            <w:pPr>
              <w:spacing w:after="0" w:line="240" w:lineRule="auto"/>
              <w:jc w:val="center"/>
            </w:pPr>
            <w:r>
              <w:rPr>
                <w:b/>
                <w:color w:val="FFFFFF"/>
                <w:sz w:val="20"/>
                <w:szCs w:val="20"/>
              </w:rPr>
              <w:t>LGTAIP</w:t>
            </w:r>
          </w:p>
        </w:tc>
      </w:tr>
      <w:tr w:rsidR="00A85A8C">
        <w:trPr>
          <w:trHeight w:val="1320"/>
        </w:trPr>
        <w:tc>
          <w:tcPr>
            <w:tcW w:w="953" w:type="dxa"/>
            <w:vMerge/>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jc w:val="center"/>
            </w:pPr>
          </w:p>
        </w:tc>
        <w:tc>
          <w:tcPr>
            <w:tcW w:w="3655" w:type="dxa"/>
            <w:gridSpan w:val="2"/>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6409DE">
            <w:pPr>
              <w:spacing w:after="0" w:line="240" w:lineRule="auto"/>
              <w:jc w:val="center"/>
            </w:pPr>
            <w:r>
              <w:rPr>
                <w:b/>
                <w:color w:val="FFFFFF"/>
                <w:sz w:val="20"/>
                <w:szCs w:val="20"/>
              </w:rPr>
              <w:t>Fracción</w:t>
            </w:r>
          </w:p>
        </w:tc>
        <w:tc>
          <w:tcPr>
            <w:tcW w:w="2833" w:type="dxa"/>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6409DE">
            <w:pPr>
              <w:spacing w:after="0" w:line="240" w:lineRule="auto"/>
              <w:jc w:val="center"/>
            </w:pPr>
            <w:r>
              <w:rPr>
                <w:b/>
                <w:color w:val="FFFFFF"/>
                <w:sz w:val="20"/>
                <w:szCs w:val="20"/>
              </w:rPr>
              <w:t>Aplicabilidad</w:t>
            </w:r>
          </w:p>
        </w:tc>
        <w:tc>
          <w:tcPr>
            <w:tcW w:w="3119" w:type="dxa"/>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A85A8C" w:rsidRDefault="006409DE">
            <w:pPr>
              <w:spacing w:after="0" w:line="240" w:lineRule="auto"/>
              <w:jc w:val="center"/>
            </w:pPr>
            <w:r>
              <w:rPr>
                <w:b/>
                <w:color w:val="FFFFFF"/>
                <w:sz w:val="20"/>
                <w:szCs w:val="20"/>
              </w:rPr>
              <w:t>Área(s) o unidad(es) administrativa(s) genera(n) o posee(n) la información</w:t>
            </w:r>
          </w:p>
        </w:tc>
      </w:tr>
      <w:tr w:rsidR="00A85A8C">
        <w:trPr>
          <w:trHeight w:val="1780"/>
        </w:trPr>
        <w:tc>
          <w:tcPr>
            <w:tcW w:w="953" w:type="dxa"/>
            <w:vMerge w:val="restart"/>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pPr>
            <w:r>
              <w:rPr>
                <w:sz w:val="20"/>
                <w:szCs w:val="20"/>
              </w:rPr>
              <w:t>Estatal</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lastRenderedPageBreak/>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tc>
        <w:tc>
          <w:tcPr>
            <w:tcW w:w="1450" w:type="dxa"/>
            <w:vMerge w:val="restart"/>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pPr>
            <w:r>
              <w:rPr>
                <w:sz w:val="20"/>
                <w:szCs w:val="20"/>
              </w:rPr>
              <w:lastRenderedPageBreak/>
              <w:br/>
              <w:t>Organismos autónomos</w:t>
            </w:r>
            <w:r>
              <w:rPr>
                <w:sz w:val="20"/>
                <w:szCs w:val="20"/>
              </w:rPr>
              <w:br/>
            </w:r>
            <w:r>
              <w:rPr>
                <w:sz w:val="20"/>
                <w:szCs w:val="20"/>
              </w:rPr>
              <w:br/>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lastRenderedPageBreak/>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6409DE">
            <w:pPr>
              <w:spacing w:after="0" w:line="240" w:lineRule="auto"/>
            </w:pPr>
            <w:r>
              <w:rPr>
                <w:sz w:val="20"/>
                <w:szCs w:val="20"/>
              </w:rPr>
              <w:t> </w:t>
            </w:r>
          </w:p>
          <w:p w:rsidR="00A85A8C" w:rsidRDefault="00A85A8C">
            <w:pPr>
              <w:spacing w:after="0" w:line="240" w:lineRule="auto"/>
            </w:pPr>
          </w:p>
        </w:tc>
        <w:tc>
          <w:tcPr>
            <w:tcW w:w="1451" w:type="dxa"/>
            <w:vMerge w:val="restart"/>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pPr>
            <w:r>
              <w:rPr>
                <w:b/>
                <w:i/>
                <w:sz w:val="20"/>
                <w:szCs w:val="20"/>
              </w:rPr>
              <w:lastRenderedPageBreak/>
              <w:t>Tribunal de Justicia Electoral</w:t>
            </w: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 w:rsidR="00A85A8C" w:rsidRDefault="006409DE">
            <w:pPr>
              <w:jc w:val="both"/>
            </w:pPr>
            <w:r>
              <w:t xml:space="preserve">Artículos 1 y 17, apartado B, Fracción X, de la Ley Orgánica del Tribunal de Justicia Electoral del Estado de Zacatecas. Es competente para emitir su normatividad, dictar sus reglamentos, manuales, lineamientos, criterios y acuerdos para su funcionamiento </w:t>
            </w:r>
          </w:p>
          <w:p w:rsidR="00A85A8C" w:rsidRDefault="006409DE">
            <w:pPr>
              <w:jc w:val="both"/>
            </w:pPr>
            <w:r>
              <w:t xml:space="preserve">                                                                                                                                                                                                                                                                                                                                                                   </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 w:rsidR="00A85A8C" w:rsidRDefault="00A85A8C"/>
          <w:p w:rsidR="00A85A8C" w:rsidRDefault="0098640F">
            <w:r>
              <w:t xml:space="preserve">Coordinación de </w:t>
            </w:r>
            <w:r w:rsidR="00284D42">
              <w:t>C</w:t>
            </w:r>
            <w:r>
              <w:t>apacitación y enlace institucional.</w:t>
            </w:r>
          </w:p>
          <w:p w:rsidR="00A85A8C" w:rsidRDefault="00A85A8C"/>
          <w:p w:rsidR="00A85A8C" w:rsidRDefault="00A85A8C"/>
          <w:p w:rsidR="00A85A8C" w:rsidRDefault="00A85A8C"/>
          <w:p w:rsidR="00A85A8C" w:rsidRDefault="00A85A8C"/>
          <w:p w:rsidR="00A85A8C" w:rsidRDefault="00A85A8C"/>
          <w:p w:rsidR="00A85A8C" w:rsidRDefault="00A85A8C">
            <w:pPr>
              <w:jc w:val="both"/>
            </w:pPr>
          </w:p>
          <w:p w:rsidR="00A85A8C" w:rsidRDefault="00A85A8C">
            <w:pPr>
              <w:jc w:val="both"/>
            </w:pPr>
          </w:p>
          <w:p w:rsidR="00A85A8C" w:rsidRDefault="006409DE">
            <w:pPr>
              <w:jc w:val="both"/>
            </w:pPr>
            <w:r>
              <w:lastRenderedPageBreak/>
              <w:t xml:space="preserve">                                                                                                                                                                                                                                                                                                                                                                                                                                                                                                                                                                                                                                                                                                                                                                                                                                                                                                                                                                                                                                                                                                                                                                     </w:t>
            </w:r>
          </w:p>
          <w:p w:rsidR="00A85A8C" w:rsidRDefault="00A85A8C">
            <w:pPr>
              <w:spacing w:after="0" w:line="240" w:lineRule="auto"/>
              <w:jc w:val="center"/>
            </w:pPr>
          </w:p>
        </w:tc>
      </w:tr>
      <w:tr w:rsidR="00A85A8C">
        <w:trPr>
          <w:trHeight w:val="154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both"/>
            </w:pPr>
            <w:r>
              <w:t>Artículo 15 Ley Orgánica del Tribunal de Justicia Electoral del Estado de Zacatecas.</w:t>
            </w:r>
          </w:p>
          <w:p w:rsidR="00A85A8C" w:rsidRDefault="006409DE">
            <w:pPr>
              <w:jc w:val="both"/>
            </w:pPr>
            <w:r>
              <w:t>Artículo 3 del Reglamento Interior del Tribunal de Justicia Electoral.</w:t>
            </w:r>
          </w:p>
          <w:p w:rsidR="00A85A8C" w:rsidRDefault="00A85A8C">
            <w:pPr>
              <w:jc w:val="both"/>
            </w:pPr>
          </w:p>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pPr>
            <w:r>
              <w:t>Coordinación de administración</w:t>
            </w:r>
          </w:p>
          <w:p w:rsidR="0098640F" w:rsidRDefault="0098640F">
            <w:pPr>
              <w:spacing w:after="0" w:line="240" w:lineRule="auto"/>
            </w:pPr>
          </w:p>
          <w:p w:rsidR="0098640F" w:rsidRDefault="0098640F">
            <w:pPr>
              <w:spacing w:after="0" w:line="240" w:lineRule="auto"/>
            </w:pPr>
          </w:p>
          <w:p w:rsidR="0098640F" w:rsidRDefault="0098640F">
            <w:pPr>
              <w:spacing w:after="0" w:line="240" w:lineRule="auto"/>
            </w:pPr>
          </w:p>
          <w:p w:rsidR="0098640F" w:rsidRDefault="0098640F">
            <w:pPr>
              <w:spacing w:after="0" w:line="240" w:lineRule="auto"/>
            </w:pPr>
            <w:r>
              <w:t>Coordinación</w:t>
            </w:r>
            <w:r w:rsidR="00DE5C58">
              <w:t xml:space="preserve"> del servicio profesional </w:t>
            </w:r>
            <w:r>
              <w:t xml:space="preserve"> de carrera</w:t>
            </w:r>
          </w:p>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r>
      <w:tr w:rsidR="00A85A8C">
        <w:trPr>
          <w:trHeight w:val="7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facultades de cada Área;</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r>
              <w:t>Artículo 17, 19, 26,36,39,41,44,47,50,54,55,56,57,58,59 de la Ley Orgánica del Tribunal de Justicia Electoral del Estado de Zacatecas.</w:t>
            </w:r>
          </w:p>
          <w:p w:rsidR="00A85A8C" w:rsidRDefault="006409DE">
            <w:r>
              <w:t>Artículos 18,19,27,30,32,34,39,40,46,47,48,49 y 55 del Reglamento Interior del Tribunal de Justicia del Estado.</w:t>
            </w:r>
          </w:p>
          <w:p w:rsidR="00A85A8C" w:rsidRDefault="00A85A8C"/>
          <w:p w:rsidR="00A85A8C" w:rsidRDefault="00A85A8C"/>
          <w:p w:rsidR="00A85A8C" w:rsidRDefault="00A85A8C"/>
          <w:p w:rsidR="00A85A8C" w:rsidRDefault="00A85A8C"/>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pPr>
              <w:jc w:val="both"/>
            </w:pPr>
          </w:p>
          <w:p w:rsidR="00A85A8C" w:rsidRDefault="00A85A8C"/>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 w:rsidR="00A85A8C" w:rsidRDefault="006409DE">
            <w:r>
              <w:t>Secretaría General de Acuerdos.</w:t>
            </w:r>
          </w:p>
          <w:p w:rsidR="00A85A8C" w:rsidRDefault="00A85A8C"/>
          <w:p w:rsidR="00A85A8C" w:rsidRDefault="006409DE">
            <w:r>
              <w:br/>
            </w:r>
          </w:p>
          <w:p w:rsidR="00A85A8C" w:rsidRDefault="006409DE">
            <w:r>
              <w:t>Coordinación de administración</w:t>
            </w:r>
          </w:p>
          <w:p w:rsidR="00A85A8C" w:rsidRDefault="00A85A8C"/>
          <w:p w:rsidR="00A85A8C" w:rsidRDefault="00A85A8C"/>
          <w:p w:rsidR="00A85A8C" w:rsidRDefault="006409DE">
            <w:r>
              <w:lastRenderedPageBreak/>
              <w:t>Coordinación de Capacitación y enlace Institucional.</w:t>
            </w:r>
          </w:p>
          <w:p w:rsidR="00A85A8C" w:rsidRDefault="00A85A8C"/>
          <w:p w:rsidR="00A85A8C" w:rsidRDefault="00A85A8C">
            <w:pPr>
              <w:spacing w:after="0" w:line="240" w:lineRule="auto"/>
              <w:jc w:val="center"/>
            </w:pPr>
          </w:p>
          <w:p w:rsidR="00A85A8C" w:rsidRDefault="006409DE">
            <w:pPr>
              <w:spacing w:after="0" w:line="240" w:lineRule="auto"/>
              <w:jc w:val="center"/>
            </w:pPr>
            <w:r>
              <w:rPr>
                <w:sz w:val="20"/>
                <w:szCs w:val="20"/>
              </w:rPr>
              <w:t> </w:t>
            </w:r>
          </w:p>
          <w:p w:rsidR="00A85A8C" w:rsidRDefault="006409DE">
            <w:r>
              <w:t>Coordinación de Servicio Profesional</w:t>
            </w:r>
            <w:r w:rsidR="00DE5C58">
              <w:t xml:space="preserve"> de carrera</w:t>
            </w:r>
          </w:p>
          <w:p w:rsidR="00A85A8C" w:rsidRDefault="00A85A8C"/>
          <w:p w:rsidR="00A85A8C" w:rsidRDefault="00A85A8C"/>
          <w:p w:rsidR="00A85A8C" w:rsidRDefault="006409DE">
            <w:r>
              <w:t xml:space="preserve">Unidad de </w:t>
            </w:r>
            <w:r w:rsidR="0098640F">
              <w:t>Transparencia</w:t>
            </w:r>
            <w:r>
              <w:t>.</w:t>
            </w:r>
          </w:p>
          <w:p w:rsidR="00A85A8C" w:rsidRDefault="00A85A8C"/>
          <w:p w:rsidR="00A85A8C" w:rsidRDefault="00A85A8C"/>
          <w:p w:rsidR="00A85A8C" w:rsidRDefault="00A85A8C"/>
          <w:p w:rsidR="00A85A8C" w:rsidRDefault="00A85A8C"/>
          <w:p w:rsidR="00A85A8C" w:rsidRDefault="00A85A8C"/>
          <w:p w:rsidR="00A85A8C" w:rsidRDefault="00A85A8C"/>
          <w:p w:rsidR="00A85A8C" w:rsidRDefault="006409DE" w:rsidP="0098640F">
            <w:r>
              <w:br/>
            </w:r>
          </w:p>
          <w:p w:rsidR="00A85A8C" w:rsidRDefault="00A85A8C">
            <w:pPr>
              <w:spacing w:after="0" w:line="240" w:lineRule="auto"/>
            </w:pPr>
          </w:p>
          <w:p w:rsidR="00A85A8C" w:rsidRDefault="00A85A8C">
            <w:pPr>
              <w:spacing w:after="0" w:line="240" w:lineRule="auto"/>
            </w:pPr>
          </w:p>
          <w:p w:rsidR="00A85A8C" w:rsidRDefault="00A85A8C">
            <w:pPr>
              <w:spacing w:after="0" w:line="240" w:lineRule="auto"/>
              <w:jc w:val="both"/>
            </w:pPr>
          </w:p>
          <w:p w:rsidR="00A85A8C" w:rsidRDefault="00A85A8C">
            <w:pPr>
              <w:spacing w:after="0" w:line="240" w:lineRule="auto"/>
              <w:jc w:val="both"/>
            </w:pPr>
          </w:p>
          <w:p w:rsidR="00A85A8C" w:rsidRDefault="00A85A8C">
            <w:pPr>
              <w:spacing w:after="0" w:line="240" w:lineRule="auto"/>
              <w:jc w:val="both"/>
            </w:pPr>
          </w:p>
          <w:p w:rsidR="00A85A8C" w:rsidRDefault="00A85A8C">
            <w:pPr>
              <w:spacing w:after="0" w:line="240" w:lineRule="auto"/>
              <w:jc w:val="both"/>
            </w:pPr>
          </w:p>
        </w:tc>
      </w:tr>
      <w:tr w:rsidR="00A85A8C">
        <w:trPr>
          <w:trHeight w:val="102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IV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metas y objetivos de las Áreas de conformidad con sus programas operativos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Este tribunal emite su Programa Operativo en base :</w:t>
            </w:r>
          </w:p>
          <w:p w:rsidR="00A85A8C" w:rsidRDefault="006409DE">
            <w:pPr>
              <w:spacing w:line="240" w:lineRule="auto"/>
              <w:jc w:val="both"/>
            </w:pPr>
            <w:r>
              <w:rPr>
                <w:sz w:val="20"/>
                <w:szCs w:val="20"/>
              </w:rPr>
              <w:t>Artículo 34 CPELSZ 2do párrafo</w:t>
            </w:r>
          </w:p>
          <w:p w:rsidR="00A85A8C" w:rsidRDefault="006409DE">
            <w:pPr>
              <w:spacing w:line="240" w:lineRule="auto"/>
              <w:jc w:val="both"/>
            </w:pPr>
            <w:r>
              <w:rPr>
                <w:sz w:val="20"/>
                <w:szCs w:val="20"/>
              </w:rPr>
              <w:t xml:space="preserve">Artículo 55 fracción IV Ley Orgánica del Tribunal de Justicia Electoral del estado de Zacatecas </w:t>
            </w:r>
          </w:p>
          <w:p w:rsidR="00A85A8C" w:rsidRDefault="00A85A8C">
            <w:pPr>
              <w:spacing w:line="240" w:lineRule="auto"/>
              <w:jc w:val="both"/>
            </w:pPr>
          </w:p>
          <w:p w:rsidR="00A85A8C" w:rsidRDefault="006409DE">
            <w:pPr>
              <w:spacing w:line="240" w:lineRule="auto"/>
              <w:jc w:val="both"/>
            </w:pPr>
            <w:r>
              <w:rPr>
                <w:sz w:val="20"/>
                <w:szCs w:val="20"/>
              </w:rPr>
              <w:t>La Coordinación de Capacitación, Elabora su programa anual de capacitación en donde fija sus metas y objetivos, de conformidad con los artículos 56, fracciones I y VIII  y 45, fracción I, de la Ley Orgánica y del Reglamento Interior, ambos ordenamientos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jc w:val="center"/>
            </w:pPr>
          </w:p>
          <w:p w:rsidR="00A85A8C" w:rsidRDefault="0098640F">
            <w:pPr>
              <w:spacing w:after="0" w:line="240" w:lineRule="auto"/>
              <w:jc w:val="center"/>
            </w:pPr>
            <w:r>
              <w:t>Secretaría General de Acuerdos</w:t>
            </w:r>
          </w:p>
          <w:p w:rsidR="00A85A8C" w:rsidRDefault="00A85A8C">
            <w:pPr>
              <w:spacing w:after="0" w:line="240" w:lineRule="auto"/>
              <w:jc w:val="center"/>
            </w:pPr>
          </w:p>
          <w:p w:rsidR="00A85A8C" w:rsidRDefault="006409DE">
            <w:pPr>
              <w:spacing w:after="0" w:line="240" w:lineRule="auto"/>
              <w:jc w:val="center"/>
              <w:rPr>
                <w:sz w:val="20"/>
                <w:szCs w:val="20"/>
              </w:rPr>
            </w:pPr>
            <w:r>
              <w:rPr>
                <w:sz w:val="20"/>
                <w:szCs w:val="20"/>
              </w:rPr>
              <w:t>Coordinación Administrativa </w:t>
            </w:r>
          </w:p>
          <w:p w:rsidR="0098640F" w:rsidRDefault="0098640F">
            <w:pPr>
              <w:spacing w:after="0" w:line="240" w:lineRule="auto"/>
              <w:jc w:val="center"/>
              <w:rPr>
                <w:sz w:val="20"/>
                <w:szCs w:val="20"/>
              </w:rPr>
            </w:pPr>
          </w:p>
          <w:p w:rsidR="0098640F" w:rsidRDefault="0098640F">
            <w:pPr>
              <w:spacing w:after="0" w:line="240" w:lineRule="auto"/>
              <w:jc w:val="center"/>
            </w:pPr>
            <w:r>
              <w:rPr>
                <w:sz w:val="20"/>
                <w:szCs w:val="20"/>
              </w:rPr>
              <w:t>Coordinación del Servicio Profesional y de Carrera</w:t>
            </w:r>
          </w:p>
          <w:p w:rsidR="00A85A8C" w:rsidRDefault="00A85A8C">
            <w:pPr>
              <w:spacing w:after="0" w:line="240" w:lineRule="auto"/>
              <w:jc w:val="center"/>
            </w:pPr>
          </w:p>
          <w:p w:rsidR="00A85A8C" w:rsidRDefault="00A85A8C">
            <w:pPr>
              <w:spacing w:after="0" w:line="240" w:lineRule="auto"/>
              <w:jc w:val="center"/>
            </w:pPr>
          </w:p>
          <w:p w:rsidR="00A85A8C" w:rsidRDefault="006409DE">
            <w:pPr>
              <w:spacing w:after="0" w:line="240" w:lineRule="auto"/>
              <w:jc w:val="center"/>
              <w:rPr>
                <w:sz w:val="20"/>
                <w:szCs w:val="20"/>
              </w:rPr>
            </w:pPr>
            <w:r>
              <w:rPr>
                <w:sz w:val="20"/>
                <w:szCs w:val="20"/>
              </w:rPr>
              <w:t>Coordinación de Capacitación y Enlace Institucional</w:t>
            </w:r>
          </w:p>
          <w:p w:rsidR="00DE5C58" w:rsidRDefault="00DE5C58">
            <w:pPr>
              <w:spacing w:after="0" w:line="240" w:lineRule="auto"/>
              <w:jc w:val="center"/>
            </w:pPr>
          </w:p>
          <w:p w:rsidR="00A85A8C" w:rsidRDefault="00DE5C58" w:rsidP="00DE5C58">
            <w:pPr>
              <w:spacing w:after="0" w:line="240" w:lineRule="auto"/>
              <w:jc w:val="center"/>
            </w:pPr>
            <w:r>
              <w:t xml:space="preserve"> Unidad de transparencia</w:t>
            </w:r>
          </w:p>
        </w:tc>
      </w:tr>
      <w:tr w:rsidR="00A85A8C">
        <w:trPr>
          <w:trHeight w:val="204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indicadores relacionados con temas de interés público o trascendencia social que conforme a sus funciones, deban establecer;</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Los indicadores de evaluación, se presentan en base al programa anual de trabajo.</w:t>
            </w:r>
          </w:p>
          <w:p w:rsidR="00A85A8C" w:rsidRDefault="00A85A8C">
            <w:pPr>
              <w:jc w:val="center"/>
            </w:pPr>
          </w:p>
          <w:p w:rsidR="00A85A8C" w:rsidRPr="006B2D14" w:rsidRDefault="006B2D14">
            <w:pPr>
              <w:jc w:val="center"/>
              <w:rPr>
                <w:color w:val="auto"/>
              </w:rPr>
            </w:pPr>
            <w:r w:rsidRPr="006B2D14">
              <w:rPr>
                <w:color w:val="auto"/>
                <w:sz w:val="20"/>
                <w:szCs w:val="20"/>
              </w:rPr>
              <w:t xml:space="preserve">Artículo </w:t>
            </w:r>
            <w:r w:rsidR="006409DE" w:rsidRPr="006B2D14">
              <w:rPr>
                <w:color w:val="auto"/>
                <w:sz w:val="20"/>
                <w:szCs w:val="20"/>
              </w:rPr>
              <w:t xml:space="preserve"> 45, fracción I, de la Ley Orgánica y del Reglamento Interior, del Tribunal de Justicia Electoral del Estado de Zacatecas</w:t>
            </w:r>
          </w:p>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jc w:val="center"/>
            </w:pPr>
          </w:p>
          <w:p w:rsidR="00A85A8C" w:rsidRDefault="00A85A8C">
            <w:pPr>
              <w:spacing w:after="0" w:line="240" w:lineRule="auto"/>
              <w:jc w:val="center"/>
            </w:pPr>
          </w:p>
          <w:p w:rsidR="00A85A8C" w:rsidRDefault="006409DE">
            <w:pPr>
              <w:spacing w:after="0" w:line="240" w:lineRule="auto"/>
              <w:jc w:val="center"/>
            </w:pPr>
            <w:r>
              <w:rPr>
                <w:sz w:val="20"/>
                <w:szCs w:val="20"/>
              </w:rPr>
              <w:t>Coordinación de Capacitación y Enlace Institucional</w:t>
            </w:r>
          </w:p>
          <w:p w:rsidR="00A85A8C" w:rsidRDefault="006409DE">
            <w:pPr>
              <w:spacing w:after="0" w:line="240" w:lineRule="auto"/>
              <w:jc w:val="center"/>
            </w:pPr>
            <w:r>
              <w:rPr>
                <w:sz w:val="20"/>
                <w:szCs w:val="20"/>
              </w:rPr>
              <w:t> </w:t>
            </w:r>
          </w:p>
          <w:p w:rsidR="00A85A8C" w:rsidRDefault="00A85A8C">
            <w:pPr>
              <w:spacing w:after="0" w:line="240" w:lineRule="auto"/>
              <w:jc w:val="center"/>
            </w:pPr>
          </w:p>
          <w:p w:rsidR="00A85A8C" w:rsidRDefault="00DE5C58">
            <w:pPr>
              <w:spacing w:after="0" w:line="240" w:lineRule="auto"/>
              <w:jc w:val="center"/>
            </w:pPr>
            <w:r w:rsidRPr="00DE5C58">
              <w:t>Coordinación Administrativa</w:t>
            </w:r>
          </w:p>
          <w:p w:rsidR="00A85A8C" w:rsidRDefault="00A85A8C">
            <w:pPr>
              <w:spacing w:after="0" w:line="240" w:lineRule="auto"/>
              <w:jc w:val="center"/>
            </w:pPr>
          </w:p>
          <w:p w:rsidR="00A85A8C" w:rsidRDefault="00A85A8C">
            <w:pPr>
              <w:spacing w:after="0" w:line="240" w:lineRule="auto"/>
              <w:jc w:val="center"/>
            </w:pPr>
          </w:p>
          <w:p w:rsidR="00A85A8C" w:rsidRDefault="006409DE">
            <w:pPr>
              <w:spacing w:after="0" w:line="240" w:lineRule="auto"/>
              <w:jc w:val="center"/>
            </w:pPr>
            <w:r>
              <w:rPr>
                <w:sz w:val="20"/>
                <w:szCs w:val="20"/>
              </w:rPr>
              <w:t>Secretaria General de Acuerdos</w:t>
            </w:r>
          </w:p>
        </w:tc>
      </w:tr>
      <w:tr w:rsidR="00A85A8C">
        <w:trPr>
          <w:trHeight w:val="9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VI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indicadores que permitan rendir cuenta de sus objetivos y resultados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Pr="006B2D14" w:rsidRDefault="006409DE">
            <w:pPr>
              <w:jc w:val="center"/>
              <w:rPr>
                <w:color w:val="auto"/>
                <w:sz w:val="18"/>
                <w:szCs w:val="18"/>
              </w:rPr>
            </w:pPr>
            <w:r w:rsidRPr="006B2D14">
              <w:rPr>
                <w:color w:val="auto"/>
                <w:sz w:val="18"/>
                <w:szCs w:val="18"/>
              </w:rPr>
              <w:t>El Tribunal electoral emite sus indicadores con base en las disposiciones:</w:t>
            </w:r>
          </w:p>
          <w:p w:rsidR="00A85A8C" w:rsidRPr="006B2D14" w:rsidRDefault="006409DE">
            <w:pPr>
              <w:jc w:val="both"/>
              <w:rPr>
                <w:color w:val="auto"/>
                <w:sz w:val="18"/>
                <w:szCs w:val="18"/>
              </w:rPr>
            </w:pPr>
            <w:r w:rsidRPr="006B2D14">
              <w:rPr>
                <w:color w:val="auto"/>
                <w:sz w:val="18"/>
                <w:szCs w:val="18"/>
              </w:rPr>
              <w:t xml:space="preserve">Artículo </w:t>
            </w:r>
            <w:r w:rsidR="006B2D14" w:rsidRPr="006B2D14">
              <w:rPr>
                <w:color w:val="auto"/>
                <w:sz w:val="18"/>
                <w:szCs w:val="18"/>
              </w:rPr>
              <w:t>55 de la Ley Orgánica del Tribunal de Justicia Electoral.</w:t>
            </w:r>
          </w:p>
          <w:p w:rsidR="00A85A8C" w:rsidRDefault="00A85A8C">
            <w:pPr>
              <w:jc w:val="both"/>
            </w:pPr>
          </w:p>
          <w:p w:rsidR="00A85A8C" w:rsidRDefault="00A85A8C">
            <w:pPr>
              <w:jc w:val="both"/>
            </w:pPr>
          </w:p>
          <w:p w:rsidR="00A85A8C" w:rsidRDefault="006409DE">
            <w:pPr>
              <w:jc w:val="both"/>
            </w:pPr>
            <w:r>
              <w:rPr>
                <w:rFonts w:ascii="Tahoma" w:eastAsia="Tahoma" w:hAnsi="Tahoma" w:cs="Tahoma"/>
                <w:sz w:val="18"/>
                <w:szCs w:val="18"/>
              </w:rPr>
              <w:t xml:space="preserve">Aplica, toda vez que de conformidad con el programa anual de trabajo, se emiten los indicadores de manera trimestral, a efecto de evaluarlos </w:t>
            </w:r>
          </w:p>
          <w:p w:rsidR="00A85A8C" w:rsidRDefault="00A85A8C">
            <w:pPr>
              <w:jc w:val="both"/>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6409DE">
            <w:pPr>
              <w:spacing w:after="0" w:line="240" w:lineRule="auto"/>
              <w:jc w:val="center"/>
            </w:pPr>
            <w:r>
              <w:rPr>
                <w:sz w:val="20"/>
                <w:szCs w:val="20"/>
              </w:rPr>
              <w:t>Coordinación Administrativa </w:t>
            </w: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tc>
      </w:tr>
      <w:tr w:rsidR="00A85A8C">
        <w:trPr>
          <w:trHeight w:val="714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t>VII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jc w:val="center"/>
            </w:pPr>
          </w:p>
          <w:p w:rsidR="00A85A8C" w:rsidRDefault="006409DE">
            <w:pPr>
              <w:jc w:val="both"/>
            </w:pPr>
            <w:r>
              <w:rPr>
                <w:sz w:val="20"/>
                <w:szCs w:val="20"/>
              </w:rPr>
              <w:t>De acuerdo a la Ley Orgánica del Tribunal de Justicia Electoral del en artículo 17 apartado B, fracción XX se faculta al tribunal para realizar el nombramiento, promoción y ascenso de los servidores públicos electorales</w:t>
            </w:r>
          </w:p>
          <w:p w:rsidR="00A85A8C" w:rsidRDefault="00A85A8C">
            <w:pPr>
              <w:jc w:val="both"/>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rsidP="005D1397">
            <w:pPr>
              <w:spacing w:after="0" w:line="240" w:lineRule="auto"/>
              <w:rPr>
                <w:sz w:val="20"/>
                <w:szCs w:val="20"/>
              </w:rPr>
            </w:pPr>
            <w:r>
              <w:rPr>
                <w:sz w:val="20"/>
                <w:szCs w:val="20"/>
              </w:rPr>
              <w:t>Coordinación Administrativa </w:t>
            </w:r>
          </w:p>
          <w:p w:rsidR="005D1397" w:rsidRDefault="005D1397" w:rsidP="005D1397">
            <w:pPr>
              <w:spacing w:after="0" w:line="240" w:lineRule="auto"/>
              <w:rPr>
                <w:sz w:val="20"/>
                <w:szCs w:val="20"/>
              </w:rPr>
            </w:pPr>
          </w:p>
          <w:p w:rsidR="005D1397" w:rsidRDefault="005D1397" w:rsidP="005D1397">
            <w:pPr>
              <w:spacing w:after="0" w:line="240" w:lineRule="auto"/>
            </w:pPr>
            <w:r>
              <w:rPr>
                <w:sz w:val="20"/>
                <w:szCs w:val="20"/>
              </w:rPr>
              <w:t>Coordinación de</w:t>
            </w:r>
            <w:r w:rsidR="00DE5C58">
              <w:rPr>
                <w:sz w:val="20"/>
                <w:szCs w:val="20"/>
              </w:rPr>
              <w:t xml:space="preserve"> Servicio Profesional </w:t>
            </w:r>
            <w:r>
              <w:rPr>
                <w:sz w:val="20"/>
                <w:szCs w:val="20"/>
              </w:rPr>
              <w:t xml:space="preserve"> de Carrera</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VIII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La remuneración bruta y neta de todos los Servidores Públicos de base o de confianza, de todas las percepciones, incluyendo sueldos, prestaciones, </w:t>
            </w:r>
            <w:r>
              <w:rPr>
                <w:sz w:val="20"/>
                <w:szCs w:val="20"/>
              </w:rPr>
              <w:lastRenderedPageBreak/>
              <w:t>gratificaciones, primas, comisiones, dietas, bonos, estímulos, ingresos y sistemas de compensación, señalando la periodicidad de dicha remuneración;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lastRenderedPageBreak/>
              <w:t>El Tribunal de Justicia aprueba su tabulador en base a las siguientes disposiciones:</w:t>
            </w:r>
          </w:p>
          <w:p w:rsidR="00A85A8C" w:rsidRDefault="006409DE">
            <w:pPr>
              <w:jc w:val="both"/>
            </w:pPr>
            <w:r>
              <w:rPr>
                <w:sz w:val="20"/>
                <w:szCs w:val="20"/>
              </w:rPr>
              <w:lastRenderedPageBreak/>
              <w:t>Artículo 17 Apartado B fracción XIX, 55 fracción X, Ley Orgánica del Tribunal de Justicia Electoral del Estado de Zacatecas</w:t>
            </w:r>
          </w:p>
          <w:p w:rsidR="00A85A8C" w:rsidRDefault="006409DE">
            <w:pPr>
              <w:jc w:val="both"/>
            </w:pPr>
            <w:r>
              <w:rPr>
                <w:sz w:val="20"/>
                <w:szCs w:val="20"/>
              </w:rPr>
              <w:t xml:space="preserve"> </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lastRenderedPageBreak/>
              <w:t>Coordinación Administrativa  </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IX</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gastos de representación y viáticos, así como el objeto e informe de comisión correspondiente;</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Este Tribunal posee dicha información ya que se faculta en la siguiente disposición:</w:t>
            </w:r>
          </w:p>
          <w:p w:rsidR="00A85A8C" w:rsidRDefault="006409DE">
            <w:pPr>
              <w:jc w:val="both"/>
            </w:pPr>
            <w:r>
              <w:rPr>
                <w:sz w:val="20"/>
                <w:szCs w:val="20"/>
              </w:rPr>
              <w:t xml:space="preserve">Artículo 19 fracción XVII Ley Orgánica del Tribunal de Justicia Electoral del Estado de Zacatecas </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Administrativa  </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El número total de las plazas y del personal de base y confianza, especificando el total de las vacantes, por nivel de puesto, para cada unidad administrativa;</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El tribunal muestra el analítico de plazas y personal en base a:</w:t>
            </w:r>
          </w:p>
          <w:p w:rsidR="00A85A8C" w:rsidRDefault="006409DE" w:rsidP="006B2D14">
            <w:pPr>
              <w:jc w:val="both"/>
            </w:pPr>
            <w:r>
              <w:rPr>
                <w:sz w:val="20"/>
                <w:szCs w:val="20"/>
              </w:rPr>
              <w:t xml:space="preserve">Artículo </w:t>
            </w:r>
            <w:r w:rsidR="006B2D14">
              <w:rPr>
                <w:sz w:val="20"/>
                <w:szCs w:val="20"/>
              </w:rPr>
              <w:t>55 fraccio</w:t>
            </w:r>
            <w:r>
              <w:rPr>
                <w:sz w:val="20"/>
                <w:szCs w:val="20"/>
              </w:rPr>
              <w:t>n</w:t>
            </w:r>
            <w:r w:rsidR="006B2D14">
              <w:rPr>
                <w:sz w:val="20"/>
                <w:szCs w:val="20"/>
              </w:rPr>
              <w:t xml:space="preserve">es VIII y XI de la </w:t>
            </w:r>
            <w:r>
              <w:rPr>
                <w:sz w:val="20"/>
                <w:szCs w:val="20"/>
              </w:rPr>
              <w:t xml:space="preserve">Ley Orgánica del Tribunal de Justicia  Electoral  </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Coordinación Administrativa </w:t>
            </w:r>
          </w:p>
        </w:tc>
      </w:tr>
      <w:tr w:rsidR="00A85A8C">
        <w:trPr>
          <w:trHeight w:val="9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contrataciones de servicios profesionales por honorarios, señalando los nombres de los prestadores de servicios, los servicios contratados, el monto de los honorarios y el periodo de contratación;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B2D14">
            <w:pPr>
              <w:jc w:val="center"/>
            </w:pPr>
            <w:r w:rsidRPr="006B2D14">
              <w:rPr>
                <w:sz w:val="20"/>
                <w:szCs w:val="20"/>
              </w:rPr>
              <w:t xml:space="preserve">Artículo 55 fracciones VIII y XI de la Ley Orgánica del Tribunal de Justicia  Electoral  </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Coordinación Administrativa </w:t>
            </w:r>
          </w:p>
        </w:tc>
      </w:tr>
      <w:tr w:rsidR="00A85A8C">
        <w:trPr>
          <w:trHeight w:val="88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 información en Versión Pública de las declaraciones patrimoniales de los Servidores Públicos que así lo determinen, en los sistemas habilitados para ello, de acuerdo a la normatividad aplicable;</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Por acuerdo del pleno se da esta información en base a la opción de que cada funcionario de su autorización, los servidores Públicos presentan su declaración en fundamento en:</w:t>
            </w:r>
          </w:p>
          <w:p w:rsidR="00A85A8C" w:rsidRDefault="006409DE">
            <w:pPr>
              <w:jc w:val="both"/>
            </w:pPr>
            <w:r>
              <w:rPr>
                <w:sz w:val="20"/>
                <w:szCs w:val="20"/>
              </w:rPr>
              <w:lastRenderedPageBreak/>
              <w:t>Artículo 10 fracción III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lastRenderedPageBreak/>
              <w:t> </w:t>
            </w:r>
            <w:r>
              <w:rPr>
                <w:sz w:val="20"/>
                <w:szCs w:val="20"/>
              </w:rPr>
              <w:t>Coordinación Administrativa </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El domicilio de la Unidad de Transparencia, además de la dirección electrónica donde podrán recibirse las solicitudes para obtener la información;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Pr="00253600" w:rsidRDefault="00253600" w:rsidP="00253600">
            <w:pPr>
              <w:jc w:val="center"/>
              <w:rPr>
                <w:color w:val="auto"/>
              </w:rPr>
            </w:pPr>
            <w:r w:rsidRPr="00253600">
              <w:rPr>
                <w:color w:val="auto"/>
              </w:rPr>
              <w:t>Art 59 de la Ley Orgánica del Tribunal de Justicia Electoral</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Pr="00253600" w:rsidRDefault="006409DE" w:rsidP="00DE5C58">
            <w:pPr>
              <w:spacing w:after="0" w:line="240" w:lineRule="auto"/>
              <w:jc w:val="center"/>
              <w:rPr>
                <w:color w:val="auto"/>
              </w:rPr>
            </w:pPr>
            <w:r w:rsidRPr="00253600">
              <w:rPr>
                <w:color w:val="auto"/>
              </w:rPr>
              <w:t xml:space="preserve">Unidad de </w:t>
            </w:r>
            <w:r w:rsidR="00DE5C58">
              <w:rPr>
                <w:color w:val="auto"/>
              </w:rPr>
              <w:t>transparencia</w:t>
            </w:r>
          </w:p>
        </w:tc>
      </w:tr>
      <w:tr w:rsidR="00A85A8C">
        <w:trPr>
          <w:trHeight w:val="9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XIV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convocatorias a concursos para ocupar cargos públicos y los resultados de los mismos;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De conformidad con el Artículo 12 del Reglamento Interior del Servicio Profesional de Carrera Jurisdiccional, que establece que la vía de ingreso al Servicio a cualquiera de los cargos será a través de la aprobación de exámenes de aptitud.</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Coordinación de Servicio Profesional  </w:t>
            </w:r>
          </w:p>
        </w:tc>
      </w:tr>
      <w:tr w:rsidR="00A85A8C">
        <w:trPr>
          <w:trHeight w:val="6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La información de los programas de subsidios, estímulos y apoyos, en el que se deberá informar respecto de los programas de transferencia, de servicios, de infraestructura social y de subsidio, en los que se deberá contener lo siguiente: </w:t>
            </w:r>
            <w:r>
              <w:rPr>
                <w:sz w:val="20"/>
                <w:szCs w:val="20"/>
              </w:rPr>
              <w:br/>
              <w:t>...</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t>Por la naturaleza jurídica de este Tribunal que es la de tramitar medios de impugnación de conformidad a su reglamentación no le corresponde ni tiene facultades de subsidiar programas de ninguna índole por lo tanto no aplica esta fracción.</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5D1397" w:rsidP="005D1397">
            <w:pPr>
              <w:spacing w:after="0" w:line="240" w:lineRule="auto"/>
              <w:jc w:val="center"/>
            </w:pPr>
            <w:r>
              <w:rPr>
                <w:sz w:val="20"/>
                <w:szCs w:val="20"/>
              </w:rPr>
              <w:t>NO APLICA</w:t>
            </w:r>
          </w:p>
        </w:tc>
      </w:tr>
      <w:tr w:rsidR="00A85A8C">
        <w:trPr>
          <w:trHeight w:val="15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XVI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 Las condiciones generales de trabajo, contratos o convenios que regulen las relaciones laborales del personal de base o de confianza, así como </w:t>
            </w:r>
            <w:r>
              <w:rPr>
                <w:b/>
                <w:i/>
                <w:sz w:val="20"/>
                <w:szCs w:val="20"/>
              </w:rPr>
              <w:t>los recursos públicos económicos</w:t>
            </w:r>
            <w:r>
              <w:rPr>
                <w:i/>
                <w:sz w:val="20"/>
                <w:szCs w:val="20"/>
              </w:rPr>
              <w:t>, en especie o donativos, que sean entregados a los sindicatos y ejerzan como recursos públicos;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Las condiciones generales de trabajo de este Tribunal Electoral  con respecto al primer rubro de esta fracción se establecen en:</w:t>
            </w:r>
          </w:p>
          <w:p w:rsidR="00A85A8C" w:rsidRDefault="006409DE">
            <w:pPr>
              <w:jc w:val="both"/>
            </w:pPr>
            <w:r>
              <w:rPr>
                <w:sz w:val="20"/>
                <w:szCs w:val="20"/>
              </w:rPr>
              <w:t xml:space="preserve">Artículo 61, 63 Ley Orgánica del Tribunal de Justicia Electoral del Estado de Zacatecas </w:t>
            </w:r>
          </w:p>
          <w:p w:rsidR="00A85A8C" w:rsidRDefault="006409DE">
            <w:pPr>
              <w:jc w:val="both"/>
            </w:pPr>
            <w:r>
              <w:rPr>
                <w:sz w:val="20"/>
                <w:szCs w:val="20"/>
              </w:rPr>
              <w:t>Artículo 101-105 Reglamento Interior del Tribunal de Justicia Electoral del Estado de Zacatecas</w:t>
            </w:r>
          </w:p>
          <w:p w:rsidR="00A85A8C" w:rsidRDefault="006409DE">
            <w:pPr>
              <w:jc w:val="both"/>
            </w:pPr>
            <w:r>
              <w:rPr>
                <w:sz w:val="20"/>
                <w:szCs w:val="20"/>
              </w:rPr>
              <w:t xml:space="preserve">En la Ley Orgánica así como en el Reglamento de este Tribunal no se faculta para que se entreguen recursos públicos en especie o donativos  </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Administrativa  </w:t>
            </w:r>
          </w:p>
        </w:tc>
      </w:tr>
      <w:tr w:rsidR="00A85A8C">
        <w:trPr>
          <w:trHeight w:val="6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XVII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 La información curricular, desde el nivel de jefe de departamento o equivalente, hasta el titular del sujeto obligado, así como, en su caso, las sanciones administrativas de que haya sido objeto;</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t>Según el Título Sexto del Reglamento del Servicio Profesional de Carrera Jurisdiccional, en el cual se regula el sistema de aplicación de sanciones administrativas o remociones.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de Servicio Profesional  </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XVIII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El listado de Servidores Públicos con sanciones administrativas definitivas, especificando la causa de sanción y la disposición;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El tribunal establece sanciones administrativas en base a las siguientes disposiciones:</w:t>
            </w:r>
          </w:p>
          <w:p w:rsidR="00A85A8C" w:rsidRDefault="006409DE">
            <w:pPr>
              <w:jc w:val="both"/>
            </w:pPr>
            <w:r>
              <w:rPr>
                <w:sz w:val="20"/>
                <w:szCs w:val="20"/>
              </w:rPr>
              <w:lastRenderedPageBreak/>
              <w:t>Título Quinto Capítulo Ley Orgánica del Tribunal de Justicia Electoral del Estado de Zacatecas</w:t>
            </w:r>
          </w:p>
          <w:p w:rsidR="00A85A8C" w:rsidRDefault="006409DE">
            <w:pPr>
              <w:jc w:val="both"/>
            </w:pPr>
            <w:r>
              <w:rPr>
                <w:sz w:val="20"/>
                <w:szCs w:val="20"/>
              </w:rPr>
              <w:t>Artículo 111 Reglamento Interior del Tribunal de Justicia Electoral del Estado de Zacatecas</w:t>
            </w:r>
          </w:p>
          <w:p w:rsidR="00A85A8C" w:rsidRDefault="00A85A8C">
            <w:pPr>
              <w:jc w:val="both"/>
            </w:pPr>
          </w:p>
          <w:p w:rsidR="00A85A8C" w:rsidRDefault="00A85A8C">
            <w:pPr>
              <w:jc w:val="both"/>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rsidP="000E7CCD">
            <w:pPr>
              <w:spacing w:after="0" w:line="240" w:lineRule="auto"/>
              <w:jc w:val="center"/>
            </w:pPr>
            <w:r>
              <w:rPr>
                <w:sz w:val="20"/>
                <w:szCs w:val="20"/>
              </w:rPr>
              <w:lastRenderedPageBreak/>
              <w:t>Coordinación de Servicio Profesional</w:t>
            </w:r>
          </w:p>
        </w:tc>
      </w:tr>
      <w:tr w:rsidR="00A85A8C">
        <w:trPr>
          <w:trHeight w:val="102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XIX</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servicios que ofrecen señalando los requisitos para acceder a ellos;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t xml:space="preserve">Artículo 59 </w:t>
            </w:r>
            <w:proofErr w:type="spellStart"/>
            <w:r>
              <w:t>fracc</w:t>
            </w:r>
            <w:proofErr w:type="spellEnd"/>
            <w:r>
              <w:t>. V de l</w:t>
            </w:r>
            <w:r w:rsidR="000E7CCD">
              <w:t xml:space="preserve">a Ley Orgánica del Tribunal de </w:t>
            </w:r>
            <w:r>
              <w:t>Justicia Electoral</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jc w:val="center"/>
            </w:pPr>
          </w:p>
          <w:p w:rsidR="000E7CCD" w:rsidRDefault="000E7CCD" w:rsidP="000E7CCD">
            <w:pPr>
              <w:spacing w:after="0" w:line="240" w:lineRule="auto"/>
              <w:jc w:val="center"/>
            </w:pPr>
            <w:r>
              <w:t xml:space="preserve">Secretaria General de Acuerdos </w:t>
            </w:r>
          </w:p>
          <w:p w:rsidR="000E7CCD" w:rsidRDefault="000E7CCD" w:rsidP="000E7CCD">
            <w:pPr>
              <w:spacing w:after="0" w:line="240" w:lineRule="auto"/>
              <w:jc w:val="center"/>
            </w:pPr>
            <w:r>
              <w:t>y</w:t>
            </w:r>
          </w:p>
          <w:p w:rsidR="00A85A8C" w:rsidRDefault="000E7CCD" w:rsidP="000E7CCD">
            <w:pPr>
              <w:spacing w:after="0" w:line="240" w:lineRule="auto"/>
              <w:jc w:val="center"/>
            </w:pPr>
            <w:r>
              <w:t>Unidad de Transparencia</w:t>
            </w:r>
          </w:p>
        </w:tc>
      </w:tr>
      <w:tr w:rsidR="00A85A8C">
        <w:trPr>
          <w:trHeight w:val="52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trámites, requisitos y formatos que ofrecen;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t xml:space="preserve">Artículo 59 </w:t>
            </w:r>
            <w:proofErr w:type="spellStart"/>
            <w:r>
              <w:t>fracc</w:t>
            </w:r>
            <w:proofErr w:type="spellEnd"/>
            <w:r>
              <w:t xml:space="preserve">. V de </w:t>
            </w:r>
            <w:r w:rsidR="000E7CCD">
              <w:t xml:space="preserve">la Ley Orgánica del Tribunal de </w:t>
            </w:r>
            <w:r>
              <w:t xml:space="preserve"> Justicia Electoral</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0E7CCD" w:rsidRDefault="000E7CCD" w:rsidP="000E7CCD">
            <w:pPr>
              <w:spacing w:after="0" w:line="240" w:lineRule="auto"/>
              <w:jc w:val="center"/>
            </w:pPr>
            <w:r>
              <w:t>Secretaria General de Acuerdos</w:t>
            </w:r>
          </w:p>
          <w:p w:rsidR="000E7CCD" w:rsidRDefault="000E7CCD" w:rsidP="000E7CCD">
            <w:pPr>
              <w:spacing w:after="0" w:line="240" w:lineRule="auto"/>
              <w:jc w:val="center"/>
            </w:pPr>
            <w:r>
              <w:t>y</w:t>
            </w:r>
          </w:p>
          <w:p w:rsidR="00A85A8C" w:rsidRDefault="000E7CCD" w:rsidP="000E7CCD">
            <w:pPr>
              <w:spacing w:after="0" w:line="240" w:lineRule="auto"/>
              <w:jc w:val="center"/>
            </w:pPr>
            <w:r>
              <w:t>Unidad de Transparencia</w:t>
            </w:r>
          </w:p>
        </w:tc>
      </w:tr>
      <w:tr w:rsidR="00A85A8C">
        <w:trPr>
          <w:trHeight w:val="15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 información financiera sobre el presupuesto asignado, así como los informes del ejercicio trimestral del gasto, en términos de la Ley General de Contabilidad Gubernamental y demás normatividad aplicable;</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rsidP="000E7CCD">
            <w:pPr>
              <w:jc w:val="center"/>
            </w:pPr>
            <w:r>
              <w:rPr>
                <w:sz w:val="20"/>
                <w:szCs w:val="20"/>
              </w:rPr>
              <w:t xml:space="preserve">Artículo 7 fracción III de </w:t>
            </w:r>
            <w:r w:rsidR="000E7CCD">
              <w:rPr>
                <w:sz w:val="20"/>
                <w:szCs w:val="20"/>
              </w:rPr>
              <w:t>la Ley Orgánica del Tribunal de</w:t>
            </w:r>
            <w:r>
              <w:rPr>
                <w:sz w:val="20"/>
                <w:szCs w:val="20"/>
              </w:rPr>
              <w:t xml:space="preserve"> Justicia Electoral</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Administrativa   </w:t>
            </w:r>
          </w:p>
        </w:tc>
      </w:tr>
      <w:tr w:rsidR="00A85A8C">
        <w:trPr>
          <w:trHeight w:val="6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 información relativa a la deuda pública, en términos de la normatividad aplicable;</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 xml:space="preserve">No Aplica derivado a que en la Ley </w:t>
            </w:r>
            <w:proofErr w:type="spellStart"/>
            <w:r>
              <w:rPr>
                <w:sz w:val="20"/>
                <w:szCs w:val="20"/>
              </w:rPr>
              <w:t>Ogánica</w:t>
            </w:r>
            <w:proofErr w:type="spellEnd"/>
            <w:r>
              <w:rPr>
                <w:sz w:val="20"/>
                <w:szCs w:val="20"/>
              </w:rPr>
              <w:t xml:space="preserve"> del Tribunal de Justicia Electoral del Estado de Zacatecas y en el Reglamento Interior del Tribunal de Justicia Electoral del Estado de Zacatecas </w:t>
            </w:r>
            <w:r>
              <w:rPr>
                <w:sz w:val="20"/>
                <w:szCs w:val="20"/>
              </w:rPr>
              <w:lastRenderedPageBreak/>
              <w:t xml:space="preserve">no se faculta al Tribunal para solicitar deuda pública. </w:t>
            </w:r>
          </w:p>
          <w:p w:rsidR="00A85A8C" w:rsidRDefault="006409DE">
            <w:pPr>
              <w:jc w:val="center"/>
            </w:pPr>
            <w:r>
              <w:rPr>
                <w:sz w:val="20"/>
                <w:szCs w:val="20"/>
              </w:rPr>
              <w:t xml:space="preserve">Artículo 46 Ley General de Contabilidad Gubernamental  </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0E7CCD">
            <w:pPr>
              <w:spacing w:after="0" w:line="240" w:lineRule="auto"/>
              <w:jc w:val="center"/>
            </w:pPr>
            <w:r>
              <w:lastRenderedPageBreak/>
              <w:t>NO APLICA</w:t>
            </w:r>
          </w:p>
        </w:tc>
      </w:tr>
      <w:tr w:rsidR="00A85A8C">
        <w:trPr>
          <w:trHeight w:val="9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montos destinados a gastos relativos a comunicación social y publicidad oficial desglosada por tipo de medio, proveedores, número de contrato y concepto o campaña;</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Artículo 160 1er párrafo Ley General de Instituciones y Procedimientos Electorales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DE5C58">
            <w:pPr>
              <w:spacing w:after="0" w:line="240" w:lineRule="auto"/>
              <w:jc w:val="center"/>
            </w:pPr>
            <w:r w:rsidRPr="00DE5C58">
              <w:t xml:space="preserve">Coordinación Administrativa   </w:t>
            </w:r>
          </w:p>
        </w:tc>
      </w:tr>
      <w:tr w:rsidR="00A85A8C">
        <w:trPr>
          <w:trHeight w:val="9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XXIV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informes de resultados de las auditorías al ejercicio presupuestal de cada sujeto obligado que se realicen y, en su caso, las aclaraciones que correspondan;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El Tribunal es revisado, fiscalizado  de acuerdo a la disposición:</w:t>
            </w:r>
          </w:p>
          <w:p w:rsidR="00A85A8C" w:rsidRDefault="006409DE">
            <w:pPr>
              <w:jc w:val="center"/>
            </w:pPr>
            <w:r>
              <w:rPr>
                <w:sz w:val="20"/>
                <w:szCs w:val="20"/>
              </w:rPr>
              <w:t>Artículo 12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Administrativa</w:t>
            </w:r>
          </w:p>
        </w:tc>
      </w:tr>
      <w:tr w:rsidR="00A85A8C">
        <w:trPr>
          <w:trHeight w:val="9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El resultado de la </w:t>
            </w:r>
            <w:proofErr w:type="spellStart"/>
            <w:r>
              <w:rPr>
                <w:sz w:val="20"/>
                <w:szCs w:val="20"/>
              </w:rPr>
              <w:t>dictaminación</w:t>
            </w:r>
            <w:proofErr w:type="spellEnd"/>
            <w:r>
              <w:rPr>
                <w:sz w:val="20"/>
                <w:szCs w:val="20"/>
              </w:rPr>
              <w:t xml:space="preserve"> de los estados financieros;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 xml:space="preserve">No Aplica </w:t>
            </w:r>
          </w:p>
          <w:p w:rsidR="00A85A8C" w:rsidRDefault="006409DE">
            <w:pPr>
              <w:jc w:val="center"/>
            </w:pPr>
            <w:r>
              <w:rPr>
                <w:sz w:val="20"/>
                <w:szCs w:val="20"/>
              </w:rPr>
              <w:t xml:space="preserve">El Tribunal de Justicia Electoral del Estado de Zacatecas no cumple con los requisitos necesarios para ejercer por la </w:t>
            </w:r>
            <w:proofErr w:type="spellStart"/>
            <w:r>
              <w:rPr>
                <w:sz w:val="20"/>
                <w:szCs w:val="20"/>
              </w:rPr>
              <w:t>dictaminación</w:t>
            </w:r>
            <w:proofErr w:type="spellEnd"/>
            <w:r>
              <w:rPr>
                <w:sz w:val="20"/>
                <w:szCs w:val="20"/>
              </w:rPr>
              <w:t xml:space="preserve"> de estados financieros señalados en el Art. 32-A Código Fiscal de la Federación</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0E7CCD" w:rsidP="000E7CCD">
            <w:pPr>
              <w:spacing w:after="0" w:line="240" w:lineRule="auto"/>
              <w:jc w:val="center"/>
            </w:pPr>
            <w:r>
              <w:rPr>
                <w:sz w:val="20"/>
                <w:szCs w:val="20"/>
              </w:rPr>
              <w:t>NO APLICA</w:t>
            </w:r>
          </w:p>
        </w:tc>
      </w:tr>
      <w:tr w:rsidR="00A85A8C">
        <w:trPr>
          <w:trHeight w:val="33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XXVI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 xml:space="preserve">No Aplica de acuerdo que en la Constitución del Estado y la Ley Orgánica no faculta para dicha asignación de recursos públicos, solo se faculta al Tribunal para ejercer el presupuesto otorgado en actividades propias de este Tribunal, en base a los artículos: </w:t>
            </w:r>
          </w:p>
          <w:p w:rsidR="00A85A8C" w:rsidRDefault="006409DE">
            <w:pPr>
              <w:jc w:val="both"/>
            </w:pPr>
            <w:r>
              <w:rPr>
                <w:sz w:val="20"/>
                <w:szCs w:val="20"/>
              </w:rPr>
              <w:t>Art 42 Constitución Política del Estado Libre y Soberano de Zacatecas</w:t>
            </w:r>
          </w:p>
          <w:p w:rsidR="00A85A8C" w:rsidRDefault="006409DE">
            <w:pPr>
              <w:jc w:val="center"/>
            </w:pPr>
            <w:r>
              <w:rPr>
                <w:sz w:val="20"/>
                <w:szCs w:val="20"/>
              </w:rPr>
              <w:t>Artículo 5, 6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0E7CCD" w:rsidP="000E7CCD">
            <w:pPr>
              <w:spacing w:after="0" w:line="240" w:lineRule="auto"/>
              <w:jc w:val="center"/>
            </w:pPr>
            <w:r>
              <w:rPr>
                <w:sz w:val="20"/>
                <w:szCs w:val="20"/>
              </w:rPr>
              <w:t>NO APLICA</w:t>
            </w:r>
          </w:p>
        </w:tc>
      </w:tr>
      <w:tr w:rsidR="00A85A8C">
        <w:trPr>
          <w:trHeight w:val="27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XXVII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 w:rsidR="00A85A8C" w:rsidRDefault="006409DE">
            <w:pPr>
              <w:jc w:val="both"/>
            </w:pPr>
            <w:r>
              <w:rPr>
                <w:sz w:val="20"/>
                <w:szCs w:val="20"/>
              </w:rPr>
              <w:t>No Aplica, ya que el Tribunal no ha sobrepasado el monto establecido por adquisición directa establecida en las siguientes disposiciones:</w:t>
            </w:r>
          </w:p>
          <w:p w:rsidR="00A85A8C" w:rsidRDefault="006409DE">
            <w:pPr>
              <w:jc w:val="center"/>
            </w:pPr>
            <w:r>
              <w:rPr>
                <w:sz w:val="20"/>
                <w:szCs w:val="20"/>
              </w:rPr>
              <w:t xml:space="preserve"> Artículo 41 Ley de Adquisiciones, Arrendamientos y Prestación de Servicios Relacionados con Bienes Muebles del Estado de Zacatecas y el Artículo 45 fracción I Presupuesto de Egresos del Estado de Zacatecas para el Ejercicio Fiscal 2016,</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0E7CCD" w:rsidP="000E7CCD">
            <w:pPr>
              <w:spacing w:after="0" w:line="240" w:lineRule="auto"/>
              <w:jc w:val="center"/>
            </w:pPr>
            <w:r>
              <w:rPr>
                <w:sz w:val="20"/>
                <w:szCs w:val="20"/>
              </w:rPr>
              <w:t>NO APLICA</w:t>
            </w:r>
          </w:p>
        </w:tc>
      </w:tr>
      <w:tr w:rsidR="00A85A8C">
        <w:trPr>
          <w:trHeight w:val="21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XXVIII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both"/>
            </w:pPr>
            <w:r>
              <w:rPr>
                <w:sz w:val="20"/>
                <w:szCs w:val="20"/>
              </w:rPr>
              <w:t>Artículo 41 Ley de Adquisiciones, Arrendamientos y Prestación de Servicios Relacionados con Bienes Muebles del Estado de Zacatecas</w:t>
            </w:r>
          </w:p>
          <w:p w:rsidR="00A85A8C" w:rsidRDefault="006409DE">
            <w:pPr>
              <w:jc w:val="center"/>
            </w:pPr>
            <w:r>
              <w:rPr>
                <w:sz w:val="20"/>
                <w:szCs w:val="20"/>
              </w:rPr>
              <w:t>Artículo 45 fracción I Presupuesto de Egresos del Estado de Zacatecas para el Ejercicio Fiscal 2016</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Administrativa</w:t>
            </w:r>
          </w:p>
        </w:tc>
      </w:tr>
      <w:tr w:rsidR="00A85A8C">
        <w:trPr>
          <w:trHeight w:val="102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XXIX</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informes que por disposición legal generen los sujetos obligados;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Los Informes que este Tribunal Electoral genera se establecen e la disposición:</w:t>
            </w:r>
          </w:p>
          <w:p w:rsidR="00A85A8C" w:rsidRDefault="006409DE">
            <w:pPr>
              <w:jc w:val="center"/>
            </w:pPr>
            <w:r>
              <w:rPr>
                <w:sz w:val="20"/>
                <w:szCs w:val="20"/>
              </w:rPr>
              <w:t>Artículo 11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rsidP="000E7CCD">
            <w:pPr>
              <w:spacing w:after="0" w:line="240" w:lineRule="auto"/>
              <w:jc w:val="center"/>
            </w:pPr>
            <w:r>
              <w:rPr>
                <w:sz w:val="20"/>
                <w:szCs w:val="20"/>
              </w:rPr>
              <w:t xml:space="preserve">Coordinación </w:t>
            </w:r>
            <w:r w:rsidR="000E7CCD">
              <w:rPr>
                <w:sz w:val="20"/>
                <w:szCs w:val="20"/>
              </w:rPr>
              <w:t xml:space="preserve"> de capacitación y enlace institucional</w:t>
            </w:r>
          </w:p>
        </w:tc>
      </w:tr>
      <w:tr w:rsidR="00A85A8C">
        <w:trPr>
          <w:trHeight w:val="18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estadísticas que generen en cumplimiento de sus facultades, competencias o funciones con la mayor desagregación posible;</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Artículo 50 XIV de la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Secretaria General de Acuerdos </w:t>
            </w:r>
          </w:p>
        </w:tc>
      </w:tr>
      <w:tr w:rsidR="00A85A8C">
        <w:trPr>
          <w:trHeight w:val="18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Informe de avances programáticos o presupuestales, balances generales y su estado financiero;</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Los Informes que emite este tribunal se encuentran establecidos en las disposiciones:</w:t>
            </w:r>
          </w:p>
          <w:p w:rsidR="00A85A8C" w:rsidRDefault="006409DE">
            <w:pPr>
              <w:jc w:val="center"/>
            </w:pPr>
            <w:r>
              <w:rPr>
                <w:sz w:val="20"/>
                <w:szCs w:val="20"/>
              </w:rPr>
              <w:t>Artículo 11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Administrativa</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Padrón de proveedores y contratistas;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w:t>
            </w:r>
          </w:p>
          <w:p w:rsidR="00A85A8C" w:rsidRDefault="008D55E5">
            <w:pPr>
              <w:jc w:val="center"/>
            </w:pPr>
            <w:r>
              <w:t>De conformidad con las disposiciones de la Ley Orgánica del Tribunal de Justicia Electoral</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DE5C58">
            <w:pPr>
              <w:spacing w:after="0" w:line="240" w:lineRule="auto"/>
              <w:jc w:val="center"/>
            </w:pPr>
            <w:r w:rsidRPr="00DE5C58">
              <w:t>Coordinación Administrativa</w:t>
            </w:r>
          </w:p>
        </w:tc>
      </w:tr>
      <w:tr w:rsidR="00A85A8C">
        <w:trPr>
          <w:trHeight w:val="15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convenios de coordinación de concertación con los sectores social y privado;</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 xml:space="preserve">No Aplica </w:t>
            </w:r>
          </w:p>
          <w:p w:rsidR="00A85A8C" w:rsidRDefault="006409DE">
            <w:pPr>
              <w:jc w:val="center"/>
            </w:pPr>
            <w:r>
              <w:rPr>
                <w:sz w:val="20"/>
                <w:szCs w:val="20"/>
              </w:rPr>
              <w:t>Derivado a que en la Ley Orgánica del Tribunal de Justicia Electoral del Estado de Zacatecas y en el Reglamento Interior del Tribunal de Justicia Electoral del Estado de Zacatecas no se faculta para dichos convenios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9D0B6B">
            <w:pPr>
              <w:spacing w:after="0" w:line="240" w:lineRule="auto"/>
              <w:jc w:val="center"/>
            </w:pPr>
            <w:r w:rsidRPr="009D0B6B">
              <w:rPr>
                <w:sz w:val="20"/>
                <w:szCs w:val="20"/>
              </w:rPr>
              <w:t>NO APLICA</w:t>
            </w:r>
          </w:p>
        </w:tc>
      </w:tr>
      <w:tr w:rsidR="00A85A8C">
        <w:trPr>
          <w:trHeight w:val="6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XXXIV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El inventario de bienes muebles e inmuebles en posesión y propiedad;</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Este Tribunal Electoral elabora y actualiza el inventario de bienes muebles e inmuebles establecidos en la disposiciones:</w:t>
            </w:r>
          </w:p>
          <w:p w:rsidR="00A85A8C" w:rsidRDefault="006409DE">
            <w:pPr>
              <w:jc w:val="center"/>
            </w:pPr>
            <w:r>
              <w:rPr>
                <w:sz w:val="20"/>
                <w:szCs w:val="20"/>
              </w:rPr>
              <w:t>Artículo 55 Fracción VI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Coordinación Administrativa</w:t>
            </w:r>
          </w:p>
        </w:tc>
      </w:tr>
      <w:tr w:rsidR="00A85A8C">
        <w:trPr>
          <w:trHeight w:val="18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recomendaciones emitidas por los órganos públicos del Estado mexicano u organismos internacionales garantes de los derechos humanos, así como las acciones que han llevado a cabo para su atención;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t xml:space="preserve">Esta autoridad jurisdiccional, no recibe  observaciones ni recomendaciones internacionales, ya que la última instancia jurisdiccional que confirma, modifica o revoca sus resoluciones es el </w:t>
            </w:r>
            <w:r>
              <w:lastRenderedPageBreak/>
              <w:t>Tribunal electoral del Poder Judicial de la Federación, de conformidad con el art. 3 de la Ley del sistema de Medios de Impugnación en materia electoral.</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9D0B6B">
            <w:pPr>
              <w:spacing w:after="0" w:line="240" w:lineRule="auto"/>
              <w:jc w:val="center"/>
            </w:pPr>
            <w:r w:rsidRPr="009D0B6B">
              <w:rPr>
                <w:sz w:val="20"/>
                <w:szCs w:val="20"/>
              </w:rPr>
              <w:lastRenderedPageBreak/>
              <w:t>Secretaria General de Acuerdos</w:t>
            </w:r>
            <w:r w:rsidR="006409DE">
              <w:rPr>
                <w:sz w:val="20"/>
                <w:szCs w:val="20"/>
              </w:rPr>
              <w:t> </w:t>
            </w:r>
          </w:p>
        </w:tc>
      </w:tr>
      <w:tr w:rsidR="00A85A8C">
        <w:trPr>
          <w:trHeight w:val="9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XXXVI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resoluciones y laudos que se emitan en procesos o procedimientos seguidos en forma de juicio;</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both"/>
            </w:pPr>
            <w:r>
              <w:rPr>
                <w:rFonts w:ascii="Tahoma" w:eastAsia="Tahoma" w:hAnsi="Tahoma" w:cs="Tahoma"/>
                <w:sz w:val="16"/>
                <w:szCs w:val="16"/>
              </w:rPr>
              <w:t>Artículo 6 de la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Secretaria General de Acuerdos </w:t>
            </w:r>
          </w:p>
        </w:tc>
      </w:tr>
      <w:tr w:rsidR="00A85A8C">
        <w:trPr>
          <w:trHeight w:val="15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XXXVII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bookmarkStart w:id="0" w:name="h.gjdgxs" w:colFirst="0" w:colLast="0"/>
            <w:bookmarkEnd w:id="0"/>
            <w:r>
              <w:rPr>
                <w:sz w:val="20"/>
                <w:szCs w:val="20"/>
              </w:rPr>
              <w:t>Los mecanismos de participación ciudadana;</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t>No aplica, toda vez que este Tribunal de conformidad con la normatividad electoral no interviene en los procesos de participación ciudadana como la iniciativa popular, referéndum, plebiscito y revocación de mandato</w:t>
            </w:r>
          </w:p>
          <w:p w:rsidR="00A85A8C" w:rsidRDefault="006409DE">
            <w:pPr>
              <w:jc w:val="both"/>
            </w:pPr>
            <w:r>
              <w:t>De conformidad al Artículo 42  apartado C,  Segundo párrafo de la Constitución Política del Estado Libre y Soberano de Zacatecas.</w:t>
            </w:r>
          </w:p>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9D0B6B" w:rsidP="009D0B6B">
            <w:pPr>
              <w:spacing w:after="0" w:line="240" w:lineRule="auto"/>
            </w:pPr>
            <w:r>
              <w:t>Coordinación de Capacitación y enlace Electora</w:t>
            </w:r>
          </w:p>
          <w:p w:rsidR="009D0B6B" w:rsidRDefault="009D0B6B" w:rsidP="009D0B6B">
            <w:pPr>
              <w:spacing w:after="0" w:line="240" w:lineRule="auto"/>
            </w:pPr>
          </w:p>
          <w:p w:rsidR="009D0B6B" w:rsidRDefault="009D0B6B" w:rsidP="009D0B6B">
            <w:pPr>
              <w:spacing w:after="0" w:line="240" w:lineRule="auto"/>
            </w:pPr>
            <w:r>
              <w:t>Coordinación d</w:t>
            </w:r>
            <w:r w:rsidR="008D55E5">
              <w:t xml:space="preserve">el Servicio Profesional </w:t>
            </w:r>
            <w:r>
              <w:t xml:space="preserve"> de Carrera</w:t>
            </w:r>
          </w:p>
        </w:tc>
      </w:tr>
      <w:tr w:rsidR="00A85A8C">
        <w:trPr>
          <w:trHeight w:val="6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XXXVIII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Los programas que ofrecen, incluyendo información sobre la población, objetivo y destino, así como los trámites, tiempos de </w:t>
            </w:r>
            <w:r>
              <w:rPr>
                <w:sz w:val="20"/>
                <w:szCs w:val="20"/>
              </w:rPr>
              <w:lastRenderedPageBreak/>
              <w:t>respuesta, requisitos y formatos para acceder a los mismos;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lastRenderedPageBreak/>
              <w:t>No Aplica</w:t>
            </w:r>
          </w:p>
          <w:p w:rsidR="00A85A8C" w:rsidRDefault="006409DE">
            <w:pPr>
              <w:jc w:val="center"/>
            </w:pPr>
            <w:r>
              <w:rPr>
                <w:sz w:val="20"/>
                <w:szCs w:val="20"/>
              </w:rPr>
              <w:t xml:space="preserve">Derivado a que en la Ley Orgánica del Tribunal de Justicia Electoral del Estado de Zacatecas </w:t>
            </w:r>
            <w:r>
              <w:rPr>
                <w:sz w:val="20"/>
                <w:szCs w:val="20"/>
              </w:rPr>
              <w:lastRenderedPageBreak/>
              <w:t>y en el Reglamento Interior del Tribunal de Justicia Electoral del Estado de Zacatecas no se faculta para proporcionar estos tipos de programas</w:t>
            </w:r>
          </w:p>
          <w:p w:rsidR="00A85A8C" w:rsidRDefault="00A85A8C">
            <w:pPr>
              <w:jc w:val="center"/>
            </w:pPr>
          </w:p>
          <w:p w:rsidR="00A85A8C" w:rsidRDefault="006409DE">
            <w:pPr>
              <w:jc w:val="center"/>
            </w:pPr>
            <w:r>
              <w:rPr>
                <w:rFonts w:ascii="Tahoma" w:eastAsia="Tahoma" w:hAnsi="Tahoma" w:cs="Tahoma"/>
                <w:sz w:val="16"/>
                <w:szCs w:val="16"/>
              </w:rPr>
              <w:t>No aplica, en atención a que por la naturaleza del área de este Tribunal, no nos corresponde ofrecer programas de ninguna índole</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jc w:val="center"/>
            </w:pPr>
          </w:p>
          <w:p w:rsidR="00A85A8C" w:rsidRDefault="00A85A8C">
            <w:pPr>
              <w:spacing w:after="0" w:line="240" w:lineRule="auto"/>
              <w:jc w:val="center"/>
            </w:pPr>
          </w:p>
          <w:p w:rsidR="00A85A8C" w:rsidRDefault="009D0B6B">
            <w:pPr>
              <w:spacing w:after="0" w:line="240" w:lineRule="auto"/>
              <w:jc w:val="center"/>
            </w:pPr>
            <w:r>
              <w:t>NO APLICA</w:t>
            </w: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tc>
      </w:tr>
      <w:tr w:rsidR="00A85A8C">
        <w:trPr>
          <w:trHeight w:val="18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XXXIX</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actas y resoluciones del Comité de Transparencia de los sujetos obligados;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t>El comité al interior del Tribunal, dará trámite según sus atribuciones conforme al artículo 43 de la LGT</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D24CAD" w:rsidP="00D24CAD">
            <w:pPr>
              <w:spacing w:after="0" w:line="240" w:lineRule="auto"/>
              <w:jc w:val="center"/>
            </w:pPr>
            <w:r>
              <w:t xml:space="preserve">Unidad de </w:t>
            </w:r>
            <w:r w:rsidR="006409DE">
              <w:t xml:space="preserve"> Transparencia.</w:t>
            </w:r>
            <w:r w:rsidR="006409DE">
              <w:rPr>
                <w:sz w:val="20"/>
                <w:szCs w:val="20"/>
              </w:rPr>
              <w:t> </w:t>
            </w:r>
          </w:p>
        </w:tc>
      </w:tr>
      <w:tr w:rsidR="00A85A8C">
        <w:trPr>
          <w:trHeight w:val="24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Todas las evaluaciones y encuestas que hagan los sujetos obligados a programas financiados con recursos públicos;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No Aplica</w:t>
            </w:r>
          </w:p>
          <w:p w:rsidR="00A85A8C" w:rsidRDefault="006409DE">
            <w:pPr>
              <w:jc w:val="both"/>
            </w:pPr>
            <w:r>
              <w:rPr>
                <w:sz w:val="20"/>
                <w:szCs w:val="20"/>
              </w:rPr>
              <w:t xml:space="preserve">Derivado a que en la Ley Orgánica del Tribunal de Justicia Electoral del Estado de Zacatecas y en el Reglamento Interior del Tribunal de Justicia Electoral del Estado de Zacatecas no se faculta para proporcionar estos tipos de programas </w:t>
            </w:r>
          </w:p>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9D0B6B" w:rsidP="009D0B6B">
            <w:pPr>
              <w:spacing w:after="0" w:line="240" w:lineRule="auto"/>
              <w:jc w:val="center"/>
            </w:pPr>
            <w:r>
              <w:rPr>
                <w:sz w:val="20"/>
                <w:szCs w:val="20"/>
              </w:rPr>
              <w:t>NO APLICA</w:t>
            </w: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tc>
      </w:tr>
      <w:tr w:rsidR="00A85A8C">
        <w:trPr>
          <w:trHeight w:val="15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estudios financiados con recursos públicos;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No Aplica</w:t>
            </w:r>
          </w:p>
          <w:p w:rsidR="00A85A8C" w:rsidRDefault="006409DE">
            <w:pPr>
              <w:jc w:val="both"/>
            </w:pPr>
            <w:r>
              <w:rPr>
                <w:sz w:val="20"/>
                <w:szCs w:val="20"/>
              </w:rPr>
              <w:t>Derivado a que en la Ley Orgánica del Tribunal de Justicia Electoral del Estado de Zacatecas y en el Reglamento Interior del Tribunal de Justicia Electoral del Estado de Zacatecas no se faculta para realizar estudios financiados con recursos públicos</w:t>
            </w:r>
          </w:p>
          <w:p w:rsidR="00A85A8C" w:rsidRDefault="006409DE">
            <w:pPr>
              <w:jc w:val="center"/>
            </w:pPr>
            <w:r>
              <w:rPr>
                <w:sz w:val="20"/>
                <w:szCs w:val="20"/>
              </w:rPr>
              <w:t>Art. 6 Ley Orgánica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9D0B6B">
            <w:pPr>
              <w:spacing w:after="0" w:line="240" w:lineRule="auto"/>
              <w:jc w:val="center"/>
            </w:pPr>
            <w:r w:rsidRPr="009D0B6B">
              <w:rPr>
                <w:sz w:val="20"/>
                <w:szCs w:val="20"/>
              </w:rPr>
              <w:t>NO APLICA</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El listado de jubilados y pensionados y el monto que reciben;</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both"/>
            </w:pPr>
            <w:r>
              <w:rPr>
                <w:sz w:val="20"/>
                <w:szCs w:val="20"/>
              </w:rPr>
              <w:t>Artículo 66 Ley Orgánica del Tribunal de Justicia Electoral del Estado de Zacatecas</w:t>
            </w:r>
          </w:p>
          <w:p w:rsidR="00A85A8C" w:rsidRDefault="006409DE">
            <w:pPr>
              <w:jc w:val="center"/>
            </w:pPr>
            <w:r>
              <w:rPr>
                <w:sz w:val="20"/>
                <w:szCs w:val="20"/>
              </w:rPr>
              <w:t>Artículo 103 inciso f) Reglamento Interior del Tribunal de Justicia Electoral del Estado de Zacatecas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D24CAD">
            <w:pPr>
              <w:spacing w:after="0" w:line="240" w:lineRule="auto"/>
              <w:jc w:val="center"/>
            </w:pPr>
            <w:r w:rsidRPr="00D24CAD">
              <w:t>Coordinación Administrativa</w:t>
            </w: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ingresos recibidos por cualquier concepto señalando el nombre de los responsables de recibirlos, administrarlos y ejercerlos, así como su destino, indicando el destino de cada uno de ellos;</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No Aplica, el Tribunal Electoral no está facultado para recibir ingresos distintos al presupuesto</w:t>
            </w:r>
          </w:p>
          <w:p w:rsidR="00A85A8C" w:rsidRDefault="006409DE">
            <w:pPr>
              <w:jc w:val="center"/>
            </w:pPr>
            <w:r>
              <w:rPr>
                <w:sz w:val="20"/>
                <w:szCs w:val="20"/>
              </w:rPr>
              <w:t>Artículo 11 Fracción IV Presupuesto de Egresos del Estado de Zacatecas para el Ejercicio Fiscal 2016</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9D0B6B">
            <w:pPr>
              <w:spacing w:after="0" w:line="240" w:lineRule="auto"/>
              <w:jc w:val="center"/>
            </w:pPr>
            <w:r w:rsidRPr="009D0B6B">
              <w:rPr>
                <w:sz w:val="20"/>
                <w:szCs w:val="20"/>
              </w:rPr>
              <w:t>NO APLICA</w:t>
            </w:r>
          </w:p>
        </w:tc>
      </w:tr>
      <w:tr w:rsidR="00A85A8C">
        <w:trPr>
          <w:trHeight w:val="15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XLIV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Donaciones hechas a terceros en dinero o en especie;</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sz w:val="20"/>
                <w:szCs w:val="20"/>
              </w:rPr>
              <w:t>No Aplica</w:t>
            </w:r>
          </w:p>
          <w:p w:rsidR="00A85A8C" w:rsidRDefault="006409DE">
            <w:pPr>
              <w:jc w:val="both"/>
            </w:pPr>
            <w:r>
              <w:rPr>
                <w:sz w:val="20"/>
                <w:szCs w:val="20"/>
              </w:rPr>
              <w:t>Derivado a que en la Ley Orgánica del Tribunal de Justicia Electoral del Estado de Zacatecas y en el Reglamento Interior del Tribunal de Justicia Electoral del Estado de Zacatecas no se faculta para realizar estudios financiados con recursos públicos</w:t>
            </w:r>
          </w:p>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9D0B6B">
            <w:pPr>
              <w:spacing w:after="0" w:line="240" w:lineRule="auto"/>
              <w:jc w:val="center"/>
            </w:pPr>
            <w:r w:rsidRPr="009D0B6B">
              <w:rPr>
                <w:sz w:val="20"/>
                <w:szCs w:val="20"/>
              </w:rPr>
              <w:t>NO APLICA</w:t>
            </w:r>
          </w:p>
        </w:tc>
      </w:tr>
      <w:tr w:rsidR="00A85A8C">
        <w:trPr>
          <w:trHeight w:val="18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XLV</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El catálogo de disposición y guía de archivo documental;</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both"/>
            </w:pPr>
            <w:r>
              <w:rPr>
                <w:rFonts w:ascii="Tahoma" w:eastAsia="Tahoma" w:hAnsi="Tahoma" w:cs="Tahoma"/>
                <w:sz w:val="16"/>
                <w:szCs w:val="16"/>
              </w:rPr>
              <w:t xml:space="preserve">Aplica, toda vez que de conformidad con el artículo 51 fracción III de la Ley Orgánica y 16 del Reglamento Interno,  la Secretaría General de Acuerdos cuenta para su apoyo con el área de Archivo Jurisdiccional, donde se pueden consultar los expedientes concluidos </w:t>
            </w:r>
          </w:p>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rPr>
                <w:sz w:val="20"/>
                <w:szCs w:val="20"/>
              </w:rPr>
            </w:pPr>
            <w:r>
              <w:rPr>
                <w:sz w:val="20"/>
                <w:szCs w:val="20"/>
              </w:rPr>
              <w:t>Secretaria General de Acuerdos </w:t>
            </w:r>
          </w:p>
          <w:p w:rsidR="00450CFF" w:rsidRDefault="00450CFF">
            <w:pPr>
              <w:spacing w:after="0" w:line="240" w:lineRule="auto"/>
              <w:jc w:val="center"/>
            </w:pPr>
            <w:r>
              <w:rPr>
                <w:sz w:val="20"/>
                <w:szCs w:val="20"/>
              </w:rPr>
              <w:t xml:space="preserve">Coordinación de </w:t>
            </w:r>
            <w:r w:rsidR="00D24CAD">
              <w:rPr>
                <w:sz w:val="20"/>
                <w:szCs w:val="20"/>
              </w:rPr>
              <w:t>Administración</w:t>
            </w:r>
          </w:p>
        </w:tc>
      </w:tr>
      <w:tr w:rsidR="00A85A8C">
        <w:trPr>
          <w:trHeight w:val="24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XLVI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Las actas de sesiones ordinarias y extraordinarias, así como las opiniones y recomendaciones que emitan, en su caso, los consejos consultivos (Artículo 47 de la LG);</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rFonts w:ascii="Tahoma" w:eastAsia="Tahoma" w:hAnsi="Tahoma" w:cs="Tahoma"/>
                <w:sz w:val="16"/>
                <w:szCs w:val="16"/>
              </w:rPr>
              <w:t xml:space="preserve">Aplica, toda vez que el artículo 15 </w:t>
            </w:r>
            <w:proofErr w:type="spellStart"/>
            <w:r>
              <w:rPr>
                <w:rFonts w:ascii="Tahoma" w:eastAsia="Tahoma" w:hAnsi="Tahoma" w:cs="Tahoma"/>
                <w:sz w:val="16"/>
                <w:szCs w:val="16"/>
              </w:rPr>
              <w:t>fraccion</w:t>
            </w:r>
            <w:proofErr w:type="spellEnd"/>
            <w:r>
              <w:rPr>
                <w:rFonts w:ascii="Tahoma" w:eastAsia="Tahoma" w:hAnsi="Tahoma" w:cs="Tahoma"/>
                <w:sz w:val="16"/>
                <w:szCs w:val="16"/>
              </w:rPr>
              <w:t xml:space="preserve">  X del Reglamento Interno,  dispone que una de las funciones de la Secretaria General de Acuerdos, es la de elaborar las actas de las sesiones publicas</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Secretaria General de Acuerdos </w:t>
            </w:r>
          </w:p>
        </w:tc>
      </w:tr>
      <w:tr w:rsidR="00A85A8C">
        <w:trPr>
          <w:trHeight w:val="54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XLVII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xml:space="preserve">Para efectos estadísticos, el listado de solicitudes a las empresas concesionarias de telecomunicaciones y </w:t>
            </w:r>
            <w:r>
              <w:rPr>
                <w:sz w:val="20"/>
                <w:szCs w:val="20"/>
              </w:rPr>
              <w:lastRenderedPageBreak/>
              <w:t>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jc w:val="center"/>
            </w:pPr>
          </w:p>
          <w:p w:rsidR="00A85A8C" w:rsidRDefault="006409DE">
            <w:pPr>
              <w:jc w:val="center"/>
            </w:pPr>
            <w:r>
              <w:rPr>
                <w:rFonts w:ascii="Tahoma" w:eastAsia="Tahoma" w:hAnsi="Tahoma" w:cs="Tahoma"/>
                <w:sz w:val="16"/>
                <w:szCs w:val="16"/>
              </w:rPr>
              <w:t xml:space="preserve">No aplica, toda vez que de acuerdo a la normatividad interna de este </w:t>
            </w:r>
            <w:r>
              <w:rPr>
                <w:rFonts w:ascii="Tahoma" w:eastAsia="Tahoma" w:hAnsi="Tahoma" w:cs="Tahoma"/>
                <w:sz w:val="16"/>
                <w:szCs w:val="16"/>
              </w:rPr>
              <w:lastRenderedPageBreak/>
              <w:t>Tribunal, la Secretaría General de Acuerdos es la encargada del despacho de los asuntos jurisdiccionales, administrativos y operativos</w:t>
            </w:r>
          </w:p>
          <w:p w:rsidR="00A85A8C" w:rsidRDefault="00A85A8C">
            <w:pPr>
              <w:jc w:val="center"/>
            </w:pPr>
          </w:p>
          <w:p w:rsidR="00A85A8C" w:rsidRDefault="006409DE">
            <w:pPr>
              <w:jc w:val="center"/>
            </w:pPr>
            <w:r>
              <w:rPr>
                <w:sz w:val="20"/>
                <w:szCs w:val="20"/>
              </w:rPr>
              <w:t>No Aplica</w:t>
            </w:r>
          </w:p>
          <w:p w:rsidR="00A85A8C" w:rsidRDefault="006409DE">
            <w:pPr>
              <w:jc w:val="center"/>
            </w:pPr>
            <w:r>
              <w:rPr>
                <w:sz w:val="20"/>
                <w:szCs w:val="20"/>
              </w:rPr>
              <w:t>Derivado a que en la Ley Orgánica del Tribunal de Justicia Electoral del Estado de Zacatecas y en el Reglamento Interior del Tribunal de Justicia Electoral del Estado de Zacatecas faculta para dicha solicitud</w:t>
            </w:r>
          </w:p>
          <w:p w:rsidR="00A85A8C" w:rsidRDefault="00A85A8C">
            <w:pPr>
              <w:jc w:val="center"/>
            </w:pPr>
          </w:p>
          <w:p w:rsidR="00A85A8C" w:rsidRDefault="006409DE">
            <w:pPr>
              <w:jc w:val="center"/>
            </w:pPr>
            <w:r>
              <w:rPr>
                <w:sz w:val="20"/>
                <w:szCs w:val="20"/>
              </w:rPr>
              <w:t>No Aplica</w:t>
            </w:r>
          </w:p>
          <w:p w:rsidR="00A85A8C" w:rsidRDefault="006409DE">
            <w:pPr>
              <w:jc w:val="center"/>
            </w:pPr>
            <w:r>
              <w:rPr>
                <w:sz w:val="20"/>
                <w:szCs w:val="20"/>
              </w:rPr>
              <w:t>La Naturaleza Jurídica de este Tribunal es de índole inminentemente jurisdiccional</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lastRenderedPageBreak/>
              <w:t> </w:t>
            </w:r>
          </w:p>
          <w:p w:rsidR="00A85A8C" w:rsidRDefault="008D55E5">
            <w:pPr>
              <w:spacing w:after="0" w:line="240" w:lineRule="auto"/>
              <w:jc w:val="center"/>
            </w:pPr>
            <w:r w:rsidRPr="008D55E5">
              <w:t>NO APLICA</w:t>
            </w: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p w:rsidR="00A85A8C" w:rsidRDefault="00A85A8C">
            <w:pPr>
              <w:spacing w:after="0" w:line="240" w:lineRule="auto"/>
              <w:jc w:val="center"/>
            </w:pPr>
          </w:p>
        </w:tc>
      </w:tr>
      <w:tr w:rsidR="00A85A8C">
        <w:trPr>
          <w:trHeight w:val="120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XLVIII</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Cualquier otra información que sea de utilidad o se considere relevante, además de la que, con base en la información estadística, responda a las preguntas hechas con más frecuencia por el público.</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jc w:val="center"/>
            </w:pPr>
            <w:r>
              <w:rPr>
                <w:rFonts w:ascii="Tahoma" w:eastAsia="Tahoma" w:hAnsi="Tahoma" w:cs="Tahoma"/>
                <w:sz w:val="16"/>
                <w:szCs w:val="16"/>
              </w:rPr>
              <w:t>Aplica, toda vez que por la naturaleza de este Tribunal, se emiten resoluciones, acuerdos y son debidamente publicados en estrados</w:t>
            </w:r>
          </w:p>
          <w:p w:rsidR="00A85A8C" w:rsidRDefault="00A85A8C">
            <w:pPr>
              <w:jc w:val="center"/>
            </w:pPr>
          </w:p>
          <w:p w:rsidR="00A85A8C" w:rsidRDefault="006409DE">
            <w:pPr>
              <w:jc w:val="center"/>
            </w:pPr>
            <w:r>
              <w:rPr>
                <w:sz w:val="20"/>
                <w:szCs w:val="20"/>
              </w:rPr>
              <w:t xml:space="preserve">La Coordinación de Capacitación tiene entre sus funciones ejecutar los programas de capacitación que se consignen </w:t>
            </w:r>
            <w:r>
              <w:rPr>
                <w:sz w:val="20"/>
                <w:szCs w:val="20"/>
              </w:rPr>
              <w:lastRenderedPageBreak/>
              <w:t>en los convenios de colaboración administrativa y académica, lo anterior con fundamento en el artículo 56, fracciones VII y X de la Ley Orgánica del Tribunal de Justicia Electoral del Estado de Zacatecas</w:t>
            </w:r>
          </w:p>
          <w:p w:rsidR="00A85A8C" w:rsidRDefault="00A85A8C">
            <w:pPr>
              <w:jc w:val="center"/>
            </w:pPr>
          </w:p>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jc w:val="center"/>
            </w:pPr>
          </w:p>
          <w:p w:rsidR="00A85A8C" w:rsidRDefault="00A85A8C">
            <w:pPr>
              <w:spacing w:after="0" w:line="240" w:lineRule="auto"/>
              <w:jc w:val="center"/>
            </w:pPr>
          </w:p>
          <w:p w:rsidR="00A85A8C" w:rsidRDefault="006409DE">
            <w:pPr>
              <w:spacing w:after="0" w:line="240" w:lineRule="auto"/>
              <w:jc w:val="center"/>
            </w:pPr>
            <w:r>
              <w:rPr>
                <w:sz w:val="20"/>
                <w:szCs w:val="20"/>
              </w:rPr>
              <w:t>Coordinación de Capacitación y Enlace Institucional</w:t>
            </w:r>
          </w:p>
          <w:p w:rsidR="00A85A8C" w:rsidRDefault="00A85A8C">
            <w:pPr>
              <w:spacing w:after="0" w:line="240" w:lineRule="auto"/>
              <w:jc w:val="center"/>
            </w:pPr>
          </w:p>
          <w:p w:rsidR="00A85A8C" w:rsidRDefault="008D55E5">
            <w:pPr>
              <w:spacing w:after="0" w:line="240" w:lineRule="auto"/>
              <w:jc w:val="center"/>
            </w:pPr>
            <w:r w:rsidRPr="008D55E5">
              <w:t>Coordinación de Administración</w:t>
            </w:r>
          </w:p>
          <w:p w:rsidR="00A85A8C" w:rsidRDefault="00A85A8C">
            <w:pPr>
              <w:spacing w:after="0" w:line="240" w:lineRule="auto"/>
              <w:jc w:val="center"/>
            </w:pPr>
          </w:p>
          <w:p w:rsidR="00A85A8C" w:rsidRDefault="006409DE">
            <w:pPr>
              <w:spacing w:after="0" w:line="240" w:lineRule="auto"/>
              <w:jc w:val="center"/>
              <w:rPr>
                <w:sz w:val="20"/>
                <w:szCs w:val="20"/>
              </w:rPr>
            </w:pPr>
            <w:r>
              <w:rPr>
                <w:sz w:val="20"/>
                <w:szCs w:val="20"/>
              </w:rPr>
              <w:t> Secretaria General de Acuerdos</w:t>
            </w:r>
          </w:p>
          <w:p w:rsidR="008D55E5" w:rsidRDefault="008D55E5">
            <w:pPr>
              <w:spacing w:after="0" w:line="240" w:lineRule="auto"/>
              <w:jc w:val="center"/>
              <w:rPr>
                <w:sz w:val="20"/>
                <w:szCs w:val="20"/>
              </w:rPr>
            </w:pPr>
          </w:p>
          <w:p w:rsidR="008D55E5" w:rsidRDefault="008D55E5">
            <w:pPr>
              <w:spacing w:after="0" w:line="240" w:lineRule="auto"/>
              <w:jc w:val="center"/>
              <w:rPr>
                <w:sz w:val="20"/>
                <w:szCs w:val="20"/>
              </w:rPr>
            </w:pPr>
            <w:r>
              <w:rPr>
                <w:sz w:val="20"/>
                <w:szCs w:val="20"/>
              </w:rPr>
              <w:t>Coordinación del Servicio Profesional de Carrera</w:t>
            </w:r>
          </w:p>
          <w:p w:rsidR="008D55E5" w:rsidRDefault="008D55E5">
            <w:pPr>
              <w:spacing w:after="0" w:line="240" w:lineRule="auto"/>
              <w:jc w:val="center"/>
            </w:pPr>
            <w:r>
              <w:rPr>
                <w:sz w:val="20"/>
                <w:szCs w:val="20"/>
              </w:rPr>
              <w:lastRenderedPageBreak/>
              <w:t>Unidad de Transparencia</w:t>
            </w:r>
          </w:p>
        </w:tc>
      </w:tr>
      <w:tr w:rsidR="00A85A8C">
        <w:trPr>
          <w:trHeight w:val="4080"/>
        </w:trPr>
        <w:tc>
          <w:tcPr>
            <w:tcW w:w="953"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0"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Último párrafo</w:t>
            </w:r>
          </w:p>
        </w:tc>
        <w:tc>
          <w:tcPr>
            <w:tcW w:w="2911"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2833"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A85A8C">
            <w:pPr>
              <w:jc w:val="center"/>
            </w:pP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85A8C" w:rsidRDefault="006409DE">
            <w:pPr>
              <w:spacing w:after="0" w:line="240" w:lineRule="auto"/>
              <w:jc w:val="center"/>
            </w:pPr>
            <w:r>
              <w:rPr>
                <w:sz w:val="20"/>
                <w:szCs w:val="20"/>
              </w:rPr>
              <w:t> </w:t>
            </w:r>
          </w:p>
        </w:tc>
      </w:tr>
    </w:tbl>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bookmarkStart w:id="1" w:name="_GoBack"/>
      <w:bookmarkEnd w:id="1"/>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A85A8C">
      <w:pPr>
        <w:spacing w:after="0" w:line="240" w:lineRule="auto"/>
        <w:ind w:left="851"/>
        <w:jc w:val="center"/>
      </w:pPr>
    </w:p>
    <w:p w:rsidR="00A85A8C" w:rsidRDefault="006409DE">
      <w:pPr>
        <w:spacing w:after="0" w:line="240" w:lineRule="auto"/>
        <w:ind w:left="851"/>
        <w:jc w:val="center"/>
      </w:pPr>
      <w:r>
        <w:rPr>
          <w:b/>
          <w:color w:val="60497A"/>
          <w:sz w:val="28"/>
          <w:szCs w:val="28"/>
        </w:rPr>
        <w:t>Tabla de aplicabilidad de las Obligaciones de transparencia específicas del Poder Ejecutivo 2016 del/la &lt;&lt;sujeto obligado&gt;&gt;</w:t>
      </w:r>
    </w:p>
    <w:p w:rsidR="00A85A8C" w:rsidRDefault="00A85A8C">
      <w:pPr>
        <w:spacing w:after="0" w:line="240" w:lineRule="auto"/>
        <w:ind w:left="851"/>
        <w:jc w:val="both"/>
      </w:pPr>
    </w:p>
    <w:p w:rsidR="00A85A8C" w:rsidRDefault="006409DE">
      <w:pPr>
        <w:spacing w:after="0" w:line="240" w:lineRule="auto"/>
        <w:ind w:left="851"/>
        <w:jc w:val="both"/>
      </w:pPr>
      <w:r>
        <w:rPr>
          <w:b/>
          <w:i/>
          <w:color w:val="60497A"/>
          <w:sz w:val="24"/>
          <w:szCs w:val="24"/>
        </w:rPr>
        <w:t>Artículo 71.</w:t>
      </w:r>
      <w:r>
        <w:rPr>
          <w:i/>
        </w:rPr>
        <w:t xml:space="preserve"> Además de lo señalado en el artículo anterior de la presente Ley, los sujetos obligados de los Poderes Ejecutivos Federal, de las Entidades Federativas y municipales, deberán poner a disposición del público y actualizar la siguiente información:</w:t>
      </w:r>
      <w:r>
        <w:rPr>
          <w:b/>
          <w:color w:val="60497A"/>
        </w:rPr>
        <w:t xml:space="preserve"> </w:t>
      </w:r>
    </w:p>
    <w:p w:rsidR="00A85A8C" w:rsidRDefault="00A85A8C">
      <w:pPr>
        <w:spacing w:after="0" w:line="240" w:lineRule="auto"/>
        <w:ind w:left="851"/>
        <w:jc w:val="both"/>
      </w:pPr>
    </w:p>
    <w:tbl>
      <w:tblPr>
        <w:tblStyle w:val="a0"/>
        <w:tblW w:w="12996" w:type="dxa"/>
        <w:jc w:val="center"/>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Look w:val="0400" w:firstRow="0" w:lastRow="0" w:firstColumn="0" w:lastColumn="0" w:noHBand="0" w:noVBand="1"/>
      </w:tblPr>
      <w:tblGrid>
        <w:gridCol w:w="844"/>
        <w:gridCol w:w="993"/>
        <w:gridCol w:w="1987"/>
        <w:gridCol w:w="1840"/>
        <w:gridCol w:w="2130"/>
        <w:gridCol w:w="2832"/>
        <w:gridCol w:w="2370"/>
      </w:tblGrid>
      <w:tr w:rsidR="00A85A8C">
        <w:trPr>
          <w:trHeight w:val="760"/>
          <w:jc w:val="center"/>
        </w:trPr>
        <w:tc>
          <w:tcPr>
            <w:tcW w:w="844" w:type="dxa"/>
            <w:vMerge w:val="restart"/>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A85A8C" w:rsidRDefault="006409DE">
            <w:pPr>
              <w:spacing w:after="0" w:line="240" w:lineRule="auto"/>
              <w:jc w:val="center"/>
            </w:pPr>
            <w:r>
              <w:rPr>
                <w:b/>
                <w:color w:val="FFFFFF"/>
                <w:sz w:val="16"/>
                <w:szCs w:val="16"/>
              </w:rPr>
              <w:t>Orden de gobierno</w:t>
            </w:r>
          </w:p>
        </w:tc>
        <w:tc>
          <w:tcPr>
            <w:tcW w:w="993" w:type="dxa"/>
            <w:vMerge w:val="restart"/>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A85A8C" w:rsidRDefault="006409DE">
            <w:pPr>
              <w:spacing w:after="0" w:line="240" w:lineRule="auto"/>
              <w:jc w:val="center"/>
            </w:pPr>
            <w:r>
              <w:rPr>
                <w:b/>
                <w:color w:val="FFFFFF"/>
                <w:sz w:val="16"/>
                <w:szCs w:val="16"/>
              </w:rPr>
              <w:t>Poder de gobierno o ámbito al que pertenece</w:t>
            </w:r>
          </w:p>
        </w:tc>
        <w:tc>
          <w:tcPr>
            <w:tcW w:w="1987" w:type="dxa"/>
            <w:vMerge w:val="restart"/>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A85A8C" w:rsidRDefault="006409DE">
            <w:pPr>
              <w:spacing w:after="0" w:line="240" w:lineRule="auto"/>
              <w:jc w:val="center"/>
            </w:pPr>
            <w:r>
              <w:rPr>
                <w:b/>
                <w:color w:val="FFFFFF"/>
                <w:sz w:val="16"/>
                <w:szCs w:val="16"/>
              </w:rPr>
              <w:t>Tipo de sujeto obligado</w:t>
            </w:r>
          </w:p>
        </w:tc>
        <w:tc>
          <w:tcPr>
            <w:tcW w:w="9172" w:type="dxa"/>
            <w:gridSpan w:val="4"/>
            <w:tcBorders>
              <w:top w:val="dotted" w:sz="4" w:space="0" w:color="00000A"/>
              <w:bottom w:val="dotted" w:sz="4" w:space="0" w:color="00000A"/>
              <w:right w:val="dotted" w:sz="4" w:space="0" w:color="00000A"/>
            </w:tcBorders>
            <w:shd w:val="clear" w:color="auto" w:fill="60497A"/>
            <w:vAlign w:val="center"/>
          </w:tcPr>
          <w:p w:rsidR="00A85A8C" w:rsidRDefault="006409DE">
            <w:pPr>
              <w:spacing w:after="0" w:line="240" w:lineRule="auto"/>
              <w:jc w:val="center"/>
            </w:pPr>
            <w:r>
              <w:rPr>
                <w:b/>
                <w:color w:val="FFFFFF"/>
                <w:sz w:val="16"/>
                <w:szCs w:val="16"/>
              </w:rPr>
              <w:t>LGTAIP</w:t>
            </w:r>
          </w:p>
        </w:tc>
      </w:tr>
      <w:tr w:rsidR="00A85A8C">
        <w:trPr>
          <w:trHeight w:val="740"/>
          <w:jc w:val="center"/>
        </w:trPr>
        <w:tc>
          <w:tcPr>
            <w:tcW w:w="844" w:type="dxa"/>
            <w:vMerge/>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A85A8C" w:rsidRDefault="00A85A8C">
            <w:pPr>
              <w:widowControl w:val="0"/>
              <w:spacing w:after="0"/>
            </w:pPr>
          </w:p>
        </w:tc>
        <w:tc>
          <w:tcPr>
            <w:tcW w:w="993" w:type="dxa"/>
            <w:vMerge/>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A85A8C" w:rsidRDefault="00A85A8C">
            <w:pPr>
              <w:widowControl w:val="0"/>
              <w:spacing w:after="0"/>
            </w:pPr>
          </w:p>
        </w:tc>
        <w:tc>
          <w:tcPr>
            <w:tcW w:w="1987" w:type="dxa"/>
            <w:vMerge/>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shd w:val="clear" w:color="auto" w:fill="60497A"/>
            <w:vAlign w:val="center"/>
          </w:tcPr>
          <w:p w:rsidR="00A85A8C" w:rsidRDefault="006409DE">
            <w:pPr>
              <w:spacing w:after="0" w:line="240" w:lineRule="auto"/>
              <w:jc w:val="center"/>
            </w:pPr>
            <w:r>
              <w:rPr>
                <w:b/>
                <w:color w:val="FFFFFF"/>
                <w:sz w:val="16"/>
                <w:szCs w:val="16"/>
              </w:rPr>
              <w:t>Fracción</w:t>
            </w:r>
          </w:p>
        </w:tc>
        <w:tc>
          <w:tcPr>
            <w:tcW w:w="2130" w:type="dxa"/>
            <w:tcBorders>
              <w:bottom w:val="dotted" w:sz="4" w:space="0" w:color="00000A"/>
              <w:right w:val="dotted" w:sz="4" w:space="0" w:color="00000A"/>
            </w:tcBorders>
            <w:shd w:val="clear" w:color="auto" w:fill="60497A"/>
            <w:vAlign w:val="center"/>
          </w:tcPr>
          <w:p w:rsidR="00A85A8C" w:rsidRDefault="006409DE">
            <w:pPr>
              <w:spacing w:after="0" w:line="240" w:lineRule="auto"/>
              <w:jc w:val="center"/>
            </w:pPr>
            <w:r>
              <w:rPr>
                <w:b/>
                <w:color w:val="FFFFFF"/>
                <w:sz w:val="16"/>
                <w:szCs w:val="16"/>
              </w:rPr>
              <w:t>inciso</w:t>
            </w:r>
          </w:p>
        </w:tc>
        <w:tc>
          <w:tcPr>
            <w:tcW w:w="2832" w:type="dxa"/>
            <w:tcBorders>
              <w:bottom w:val="dotted" w:sz="4" w:space="0" w:color="00000A"/>
              <w:right w:val="dotted" w:sz="4" w:space="0" w:color="00000A"/>
            </w:tcBorders>
            <w:shd w:val="clear" w:color="auto" w:fill="60497A"/>
            <w:vAlign w:val="center"/>
          </w:tcPr>
          <w:p w:rsidR="00A85A8C" w:rsidRDefault="006409DE">
            <w:pPr>
              <w:spacing w:after="0" w:line="240" w:lineRule="auto"/>
              <w:jc w:val="center"/>
            </w:pPr>
            <w:r>
              <w:rPr>
                <w:b/>
                <w:color w:val="FFFFFF"/>
                <w:sz w:val="16"/>
                <w:szCs w:val="16"/>
              </w:rPr>
              <w:t>Aplicabilidad</w:t>
            </w:r>
          </w:p>
        </w:tc>
        <w:tc>
          <w:tcPr>
            <w:tcW w:w="2370" w:type="dxa"/>
            <w:tcBorders>
              <w:bottom w:val="dotted" w:sz="4" w:space="0" w:color="00000A"/>
              <w:right w:val="dotted" w:sz="4" w:space="0" w:color="00000A"/>
            </w:tcBorders>
            <w:shd w:val="clear" w:color="auto" w:fill="60497A"/>
            <w:vAlign w:val="center"/>
          </w:tcPr>
          <w:p w:rsidR="00A85A8C" w:rsidRDefault="006409DE">
            <w:pPr>
              <w:spacing w:after="0" w:line="240" w:lineRule="auto"/>
              <w:jc w:val="center"/>
            </w:pPr>
            <w:r>
              <w:rPr>
                <w:b/>
                <w:color w:val="FFFFFF"/>
                <w:sz w:val="16"/>
                <w:szCs w:val="16"/>
              </w:rPr>
              <w:t>Área(s) o unidad(es) administrativa(s) genera(n) o posee(n) la información</w:t>
            </w:r>
          </w:p>
        </w:tc>
      </w:tr>
      <w:tr w:rsidR="00A85A8C">
        <w:trPr>
          <w:trHeight w:val="2700"/>
          <w:jc w:val="center"/>
        </w:trPr>
        <w:tc>
          <w:tcPr>
            <w:tcW w:w="844" w:type="dxa"/>
            <w:vMerge w:val="restart"/>
            <w:tcBorders>
              <w:left w:val="dotted" w:sz="4" w:space="0" w:color="00000A"/>
              <w:bottom w:val="dotted" w:sz="4" w:space="0" w:color="00000A"/>
              <w:right w:val="dotted" w:sz="4" w:space="0" w:color="00000A"/>
            </w:tcBorders>
            <w:tcMar>
              <w:left w:w="65" w:type="dxa"/>
            </w:tcMar>
            <w:vAlign w:val="center"/>
          </w:tcPr>
          <w:p w:rsidR="00A85A8C" w:rsidRDefault="006409DE">
            <w:pPr>
              <w:spacing w:after="0" w:line="240" w:lineRule="auto"/>
              <w:jc w:val="center"/>
            </w:pPr>
            <w:r>
              <w:rPr>
                <w:sz w:val="16"/>
                <w:szCs w:val="16"/>
              </w:rPr>
              <w:lastRenderedPageBreak/>
              <w:t>Federal</w:t>
            </w:r>
          </w:p>
        </w:tc>
        <w:tc>
          <w:tcPr>
            <w:tcW w:w="993" w:type="dxa"/>
            <w:vMerge w:val="restart"/>
            <w:tcBorders>
              <w:left w:val="dotted" w:sz="4" w:space="0" w:color="00000A"/>
              <w:bottom w:val="dotted" w:sz="4" w:space="0" w:color="00000A"/>
              <w:right w:val="dotted" w:sz="4" w:space="0" w:color="00000A"/>
            </w:tcBorders>
            <w:tcMar>
              <w:left w:w="65" w:type="dxa"/>
            </w:tcMar>
            <w:vAlign w:val="center"/>
          </w:tcPr>
          <w:p w:rsidR="00A85A8C" w:rsidRDefault="006409DE">
            <w:pPr>
              <w:spacing w:after="0" w:line="240" w:lineRule="auto"/>
              <w:jc w:val="center"/>
            </w:pPr>
            <w:r>
              <w:rPr>
                <w:sz w:val="16"/>
                <w:szCs w:val="16"/>
              </w:rPr>
              <w:t>Poder Ejecutivo</w:t>
            </w:r>
          </w:p>
        </w:tc>
        <w:tc>
          <w:tcPr>
            <w:tcW w:w="1987" w:type="dxa"/>
            <w:vMerge w:val="restart"/>
            <w:tcBorders>
              <w:left w:val="dotted" w:sz="4" w:space="0" w:color="00000A"/>
              <w:bottom w:val="dotted" w:sz="4" w:space="0" w:color="00000A"/>
              <w:right w:val="dotted" w:sz="4" w:space="0" w:color="00000A"/>
            </w:tcBorders>
            <w:tcMar>
              <w:left w:w="65" w:type="dxa"/>
            </w:tcMar>
            <w:vAlign w:val="center"/>
          </w:tcPr>
          <w:p w:rsidR="00A85A8C" w:rsidRDefault="006409DE">
            <w:pPr>
              <w:widowControl w:val="0"/>
              <w:numPr>
                <w:ilvl w:val="0"/>
                <w:numId w:val="1"/>
              </w:numPr>
              <w:spacing w:after="0" w:line="360" w:lineRule="auto"/>
              <w:ind w:left="268" w:hanging="142"/>
              <w:contextualSpacing/>
            </w:pPr>
            <w:r>
              <w:rPr>
                <w:sz w:val="16"/>
                <w:szCs w:val="16"/>
              </w:rPr>
              <w:t xml:space="preserve"> Administración Centralizada</w:t>
            </w:r>
          </w:p>
          <w:p w:rsidR="00A85A8C" w:rsidRDefault="006409DE">
            <w:pPr>
              <w:widowControl w:val="0"/>
              <w:numPr>
                <w:ilvl w:val="0"/>
                <w:numId w:val="1"/>
              </w:numPr>
              <w:spacing w:after="0" w:line="360" w:lineRule="auto"/>
              <w:ind w:left="268" w:hanging="142"/>
              <w:contextualSpacing/>
            </w:pPr>
            <w:r>
              <w:rPr>
                <w:sz w:val="16"/>
                <w:szCs w:val="16"/>
              </w:rPr>
              <w:t>Organismo desconcentrado</w:t>
            </w:r>
          </w:p>
          <w:p w:rsidR="00A85A8C" w:rsidRDefault="006409DE">
            <w:pPr>
              <w:widowControl w:val="0"/>
              <w:numPr>
                <w:ilvl w:val="0"/>
                <w:numId w:val="1"/>
              </w:numPr>
              <w:spacing w:after="0" w:line="360" w:lineRule="auto"/>
              <w:ind w:left="268" w:hanging="142"/>
              <w:contextualSpacing/>
            </w:pPr>
            <w:r>
              <w:rPr>
                <w:sz w:val="16"/>
                <w:szCs w:val="16"/>
              </w:rPr>
              <w:t xml:space="preserve"> Organismo descentralizado</w:t>
            </w:r>
          </w:p>
          <w:p w:rsidR="00A85A8C" w:rsidRDefault="006409DE">
            <w:pPr>
              <w:widowControl w:val="0"/>
              <w:numPr>
                <w:ilvl w:val="0"/>
                <w:numId w:val="1"/>
              </w:numPr>
              <w:spacing w:after="0" w:line="360" w:lineRule="auto"/>
              <w:ind w:left="268" w:hanging="142"/>
              <w:contextualSpacing/>
            </w:pPr>
            <w:r>
              <w:rPr>
                <w:sz w:val="16"/>
                <w:szCs w:val="16"/>
              </w:rPr>
              <w:t>Empresa de Participación - Estatal Mayoritaria</w:t>
            </w:r>
          </w:p>
          <w:p w:rsidR="00A85A8C" w:rsidRDefault="006409DE">
            <w:pPr>
              <w:widowControl w:val="0"/>
              <w:numPr>
                <w:ilvl w:val="0"/>
                <w:numId w:val="1"/>
              </w:numPr>
              <w:spacing w:after="0" w:line="360" w:lineRule="auto"/>
              <w:ind w:left="268" w:hanging="142"/>
              <w:contextualSpacing/>
            </w:pPr>
            <w:r>
              <w:rPr>
                <w:sz w:val="16"/>
                <w:szCs w:val="16"/>
              </w:rPr>
              <w:t>Fideicomiso, Fondo, Mandato</w:t>
            </w:r>
          </w:p>
          <w:p w:rsidR="00A85A8C" w:rsidRDefault="006409DE">
            <w:pPr>
              <w:widowControl w:val="0"/>
              <w:numPr>
                <w:ilvl w:val="0"/>
                <w:numId w:val="1"/>
              </w:numPr>
              <w:spacing w:after="0" w:line="360" w:lineRule="auto"/>
              <w:ind w:left="268" w:hanging="142"/>
              <w:contextualSpacing/>
            </w:pPr>
            <w:r>
              <w:rPr>
                <w:sz w:val="16"/>
                <w:szCs w:val="16"/>
              </w:rPr>
              <w:t>Órganos reguladores coordinados</w:t>
            </w:r>
          </w:p>
          <w:p w:rsidR="00A85A8C" w:rsidRDefault="006409DE">
            <w:pPr>
              <w:widowControl w:val="0"/>
              <w:numPr>
                <w:ilvl w:val="0"/>
                <w:numId w:val="1"/>
              </w:numPr>
              <w:spacing w:after="0" w:line="360" w:lineRule="auto"/>
              <w:ind w:left="268" w:hanging="142"/>
              <w:contextualSpacing/>
            </w:pPr>
            <w:r>
              <w:rPr>
                <w:sz w:val="16"/>
                <w:szCs w:val="16"/>
              </w:rPr>
              <w:t>Empresas productivas del Estado</w:t>
            </w:r>
          </w:p>
          <w:p w:rsidR="00A85A8C" w:rsidRDefault="006409DE">
            <w:pPr>
              <w:widowControl w:val="0"/>
              <w:numPr>
                <w:ilvl w:val="0"/>
                <w:numId w:val="1"/>
              </w:numPr>
              <w:spacing w:after="0" w:line="360" w:lineRule="auto"/>
              <w:ind w:left="268" w:hanging="142"/>
              <w:contextualSpacing/>
            </w:pPr>
            <w:r>
              <w:rPr>
                <w:sz w:val="16"/>
                <w:szCs w:val="16"/>
              </w:rPr>
              <w:t>Subsidiaria</w:t>
            </w:r>
          </w:p>
          <w:p w:rsidR="00A85A8C" w:rsidRDefault="006409DE">
            <w:pPr>
              <w:widowControl w:val="0"/>
              <w:numPr>
                <w:ilvl w:val="0"/>
                <w:numId w:val="1"/>
              </w:numPr>
              <w:spacing w:after="0" w:line="360" w:lineRule="auto"/>
              <w:ind w:left="268" w:hanging="142"/>
              <w:contextualSpacing/>
            </w:pPr>
            <w:bookmarkStart w:id="2" w:name="h.30j0zll" w:colFirst="0" w:colLast="0"/>
            <w:bookmarkEnd w:id="2"/>
            <w:r>
              <w:rPr>
                <w:sz w:val="16"/>
                <w:szCs w:val="16"/>
              </w:rPr>
              <w:t>Filial</w:t>
            </w: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r>
              <w:rPr>
                <w:sz w:val="16"/>
                <w:szCs w:val="16"/>
              </w:rPr>
              <w:t>I. En el caso del Poder Ejecutivo Federal, los poderes ejecutivos de las Entidades Federativas, el Órgano Ejecutivo del Distrito Federal y los municipios:</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a)    El Plan Nacional de Desarrollo, los planes estatales de desarrollo o el Programa General de Desarrollo del Distrito Federal, según corresponda;</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6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proofErr w:type="gramStart"/>
            <w:r>
              <w:rPr>
                <w:sz w:val="16"/>
                <w:szCs w:val="16"/>
              </w:rPr>
              <w:t>I.</w:t>
            </w:r>
            <w:proofErr w:type="gramEnd"/>
            <w:r>
              <w:rPr>
                <w:sz w:val="16"/>
                <w:szCs w:val="16"/>
              </w:rPr>
              <w:br/>
              <w:t>…</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b)    El presupuesto de egresos y las fórmulas de distribución de los recursos otorgados;</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12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proofErr w:type="gramStart"/>
            <w:r>
              <w:rPr>
                <w:sz w:val="16"/>
                <w:szCs w:val="16"/>
              </w:rPr>
              <w:t>I.</w:t>
            </w:r>
            <w:proofErr w:type="gramEnd"/>
            <w:r>
              <w:rPr>
                <w:sz w:val="16"/>
                <w:szCs w:val="16"/>
              </w:rPr>
              <w:br/>
              <w:t>…</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c)     El listado de expropiaciones decretadas y ejecutadas que incluya, cuando menos, la fecha de expropiación, el domicilio y la causa de utilidad pública y las ocupaciones superficiales;</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18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proofErr w:type="gramStart"/>
            <w:r>
              <w:rPr>
                <w:sz w:val="16"/>
                <w:szCs w:val="16"/>
              </w:rPr>
              <w:t>I.</w:t>
            </w:r>
            <w:proofErr w:type="gramEnd"/>
            <w:r>
              <w:rPr>
                <w:sz w:val="16"/>
                <w:szCs w:val="16"/>
              </w:rPr>
              <w:br/>
              <w:t>…</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15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proofErr w:type="gramStart"/>
            <w:r>
              <w:rPr>
                <w:sz w:val="16"/>
                <w:szCs w:val="16"/>
              </w:rPr>
              <w:t>I.</w:t>
            </w:r>
            <w:proofErr w:type="gramEnd"/>
            <w:r>
              <w:rPr>
                <w:sz w:val="16"/>
                <w:szCs w:val="16"/>
              </w:rPr>
              <w:br/>
              <w:t>…</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12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proofErr w:type="gramStart"/>
            <w:r>
              <w:rPr>
                <w:sz w:val="16"/>
                <w:szCs w:val="16"/>
              </w:rPr>
              <w:t>I.</w:t>
            </w:r>
            <w:proofErr w:type="gramEnd"/>
            <w:r>
              <w:rPr>
                <w:sz w:val="16"/>
                <w:szCs w:val="16"/>
              </w:rPr>
              <w:br/>
              <w:t>…</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f)     La información detallada que contengan los planes de desarrollo urbano, ordenamiento territorial y ecológico, los tipos y usos de suelo, licencias de uso y construcción otorgadas por los gobiernos municipales, y</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21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proofErr w:type="gramStart"/>
            <w:r>
              <w:rPr>
                <w:sz w:val="16"/>
                <w:szCs w:val="16"/>
              </w:rPr>
              <w:t>I.</w:t>
            </w:r>
            <w:proofErr w:type="gramEnd"/>
            <w:r>
              <w:rPr>
                <w:sz w:val="16"/>
                <w:szCs w:val="16"/>
              </w:rPr>
              <w:br/>
              <w:t>…</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9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r>
              <w:rPr>
                <w:sz w:val="16"/>
                <w:szCs w:val="16"/>
              </w:rPr>
              <w:t>II. Adicionalmente, en el caso de los municipios:</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a)    El contenido de las gacetas municipales, las cuales deberán comprender los resolutivos y acuerdos aprobados por los ayuntamientos, y</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r w:rsidR="00A85A8C">
        <w:trPr>
          <w:trHeight w:val="1200"/>
          <w:jc w:val="center"/>
        </w:trPr>
        <w:tc>
          <w:tcPr>
            <w:tcW w:w="844"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993" w:type="dxa"/>
            <w:vMerge/>
            <w:tcBorders>
              <w:left w:val="dotted" w:sz="4" w:space="0" w:color="00000A"/>
              <w:bottom w:val="dotted" w:sz="4" w:space="0" w:color="00000A"/>
              <w:right w:val="dotted" w:sz="4" w:space="0" w:color="00000A"/>
            </w:tcBorders>
            <w:tcMar>
              <w:left w:w="65" w:type="dxa"/>
            </w:tcMar>
            <w:vAlign w:val="center"/>
          </w:tcPr>
          <w:p w:rsidR="00A85A8C" w:rsidRDefault="00A85A8C">
            <w:pPr>
              <w:widowControl w:val="0"/>
              <w:spacing w:after="0"/>
            </w:pPr>
          </w:p>
        </w:tc>
        <w:tc>
          <w:tcPr>
            <w:tcW w:w="1987" w:type="dxa"/>
            <w:vMerge/>
            <w:tcBorders>
              <w:left w:val="dotted" w:sz="4" w:space="0" w:color="00000A"/>
              <w:bottom w:val="dotted" w:sz="4" w:space="0" w:color="00000A"/>
              <w:right w:val="dotted" w:sz="4" w:space="0" w:color="00000A"/>
            </w:tcBorders>
            <w:tcMar>
              <w:left w:w="65" w:type="dxa"/>
            </w:tcMar>
            <w:vAlign w:val="center"/>
          </w:tcPr>
          <w:p w:rsidR="00A85A8C" w:rsidRDefault="00A85A8C">
            <w:pPr>
              <w:spacing w:after="0" w:line="240" w:lineRule="auto"/>
            </w:pPr>
          </w:p>
          <w:p w:rsidR="00A85A8C" w:rsidRDefault="00A85A8C">
            <w:pPr>
              <w:spacing w:after="0" w:line="240" w:lineRule="auto"/>
            </w:pPr>
          </w:p>
          <w:p w:rsidR="00A85A8C" w:rsidRDefault="00A85A8C">
            <w:pPr>
              <w:spacing w:after="0" w:line="240" w:lineRule="auto"/>
            </w:pPr>
          </w:p>
        </w:tc>
        <w:tc>
          <w:tcPr>
            <w:tcW w:w="1840" w:type="dxa"/>
            <w:tcBorders>
              <w:bottom w:val="dotted" w:sz="4" w:space="0" w:color="00000A"/>
              <w:right w:val="dotted" w:sz="4" w:space="0" w:color="00000A"/>
            </w:tcBorders>
            <w:vAlign w:val="center"/>
          </w:tcPr>
          <w:p w:rsidR="00A85A8C" w:rsidRDefault="006409DE">
            <w:pPr>
              <w:spacing w:after="0" w:line="240" w:lineRule="auto"/>
              <w:jc w:val="center"/>
            </w:pPr>
            <w:r>
              <w:rPr>
                <w:sz w:val="16"/>
                <w:szCs w:val="16"/>
              </w:rPr>
              <w:t>II.</w:t>
            </w:r>
            <w:r>
              <w:rPr>
                <w:sz w:val="16"/>
                <w:szCs w:val="16"/>
              </w:rPr>
              <w:br/>
              <w:t>…</w:t>
            </w:r>
          </w:p>
        </w:tc>
        <w:tc>
          <w:tcPr>
            <w:tcW w:w="2130" w:type="dxa"/>
            <w:tcBorders>
              <w:bottom w:val="dotted" w:sz="4" w:space="0" w:color="00000A"/>
              <w:right w:val="dotted" w:sz="4" w:space="0" w:color="00000A"/>
            </w:tcBorders>
            <w:vAlign w:val="center"/>
          </w:tcPr>
          <w:p w:rsidR="00A85A8C" w:rsidRDefault="006409DE">
            <w:pPr>
              <w:spacing w:after="0" w:line="240" w:lineRule="auto"/>
            </w:pPr>
            <w:r>
              <w:rPr>
                <w:color w:val="2F2F2F"/>
                <w:sz w:val="16"/>
                <w:szCs w:val="16"/>
              </w:rPr>
              <w:t>b)    Las actas de sesiones de cabildo, los controles de asistencia de los integrantes del Ayuntamiento a las sesiones de cabildo y el sentido de votación de los miembros del cabildo sobre las iniciativas o acuerdos.</w:t>
            </w:r>
          </w:p>
        </w:tc>
        <w:tc>
          <w:tcPr>
            <w:tcW w:w="2832" w:type="dxa"/>
            <w:tcBorders>
              <w:bottom w:val="dotted" w:sz="4" w:space="0" w:color="00000A"/>
              <w:right w:val="dotted" w:sz="4" w:space="0" w:color="00000A"/>
            </w:tcBorders>
            <w:vAlign w:val="center"/>
          </w:tcPr>
          <w:p w:rsidR="00A85A8C" w:rsidRDefault="006409DE">
            <w:pPr>
              <w:spacing w:after="0" w:line="240" w:lineRule="auto"/>
              <w:jc w:val="center"/>
            </w:pPr>
            <w:r>
              <w:rPr>
                <w:color w:val="2F2F2F"/>
                <w:sz w:val="16"/>
                <w:szCs w:val="16"/>
              </w:rPr>
              <w:t>Aplica / En su caso, motivación y fundamentación de las razones por las cuales no generan o poseen la información</w:t>
            </w:r>
          </w:p>
        </w:tc>
        <w:tc>
          <w:tcPr>
            <w:tcW w:w="2370" w:type="dxa"/>
            <w:tcBorders>
              <w:bottom w:val="dotted" w:sz="4" w:space="0" w:color="00000A"/>
              <w:right w:val="dotted" w:sz="4" w:space="0" w:color="00000A"/>
            </w:tcBorders>
            <w:vAlign w:val="bottom"/>
          </w:tcPr>
          <w:p w:rsidR="00A85A8C" w:rsidRDefault="006409DE">
            <w:pPr>
              <w:spacing w:after="0" w:line="240" w:lineRule="auto"/>
            </w:pPr>
            <w:r>
              <w:rPr>
                <w:sz w:val="16"/>
                <w:szCs w:val="16"/>
              </w:rPr>
              <w:t> </w:t>
            </w:r>
          </w:p>
        </w:tc>
      </w:tr>
    </w:tbl>
    <w:p w:rsidR="00A85A8C" w:rsidRDefault="00A85A8C">
      <w:pPr>
        <w:spacing w:after="0" w:line="240" w:lineRule="auto"/>
        <w:ind w:left="851"/>
        <w:jc w:val="both"/>
      </w:pPr>
    </w:p>
    <w:sectPr w:rsidR="00A85A8C" w:rsidSect="002425E4">
      <w:footerReference w:type="default" r:id="rId8"/>
      <w:pgSz w:w="15840" w:h="12240" w:orient="landscape"/>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3A" w:rsidRDefault="00EE473A" w:rsidP="00662347">
      <w:pPr>
        <w:spacing w:after="0" w:line="240" w:lineRule="auto"/>
      </w:pPr>
      <w:r>
        <w:separator/>
      </w:r>
    </w:p>
  </w:endnote>
  <w:endnote w:type="continuationSeparator" w:id="0">
    <w:p w:rsidR="00EE473A" w:rsidRDefault="00EE473A" w:rsidP="0066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56428"/>
      <w:docPartObj>
        <w:docPartGallery w:val="Page Numbers (Bottom of Page)"/>
        <w:docPartUnique/>
      </w:docPartObj>
    </w:sdtPr>
    <w:sdtContent>
      <w:p w:rsidR="00662347" w:rsidRDefault="00662347">
        <w:pPr>
          <w:pStyle w:val="Piedepgina"/>
          <w:jc w:val="center"/>
        </w:pPr>
        <w:r>
          <w:fldChar w:fldCharType="begin"/>
        </w:r>
        <w:r>
          <w:instrText>PAGE   \* MERGEFORMAT</w:instrText>
        </w:r>
        <w:r>
          <w:fldChar w:fldCharType="separate"/>
        </w:r>
        <w:r w:rsidRPr="00662347">
          <w:rPr>
            <w:noProof/>
            <w:lang w:val="es-ES"/>
          </w:rPr>
          <w:t>23</w:t>
        </w:r>
        <w:r>
          <w:fldChar w:fldCharType="end"/>
        </w:r>
      </w:p>
    </w:sdtContent>
  </w:sdt>
  <w:p w:rsidR="00662347" w:rsidRDefault="00662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3A" w:rsidRDefault="00EE473A" w:rsidP="00662347">
      <w:pPr>
        <w:spacing w:after="0" w:line="240" w:lineRule="auto"/>
      </w:pPr>
      <w:r>
        <w:separator/>
      </w:r>
    </w:p>
  </w:footnote>
  <w:footnote w:type="continuationSeparator" w:id="0">
    <w:p w:rsidR="00EE473A" w:rsidRDefault="00EE473A" w:rsidP="00662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52BF5"/>
    <w:multiLevelType w:val="multilevel"/>
    <w:tmpl w:val="23200488"/>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8C"/>
    <w:rsid w:val="000E7CCD"/>
    <w:rsid w:val="002425E4"/>
    <w:rsid w:val="00253600"/>
    <w:rsid w:val="00284D42"/>
    <w:rsid w:val="00365C07"/>
    <w:rsid w:val="00450CFF"/>
    <w:rsid w:val="00464071"/>
    <w:rsid w:val="005D1397"/>
    <w:rsid w:val="00630B26"/>
    <w:rsid w:val="006409DE"/>
    <w:rsid w:val="00662347"/>
    <w:rsid w:val="006B2D14"/>
    <w:rsid w:val="008038B8"/>
    <w:rsid w:val="008D55E5"/>
    <w:rsid w:val="0098640F"/>
    <w:rsid w:val="009D0B6B"/>
    <w:rsid w:val="00A85A8C"/>
    <w:rsid w:val="00D24CAD"/>
    <w:rsid w:val="00DE5C58"/>
    <w:rsid w:val="00EC3664"/>
    <w:rsid w:val="00EE4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5C6DB-5DCF-4382-BC61-40239DFF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65" w:type="dxa"/>
        <w:bottom w:w="0" w:type="dxa"/>
        <w:right w:w="70" w:type="dxa"/>
      </w:tblCellMar>
    </w:tblPr>
  </w:style>
  <w:style w:type="paragraph" w:styleId="Textodeglobo">
    <w:name w:val="Balloon Text"/>
    <w:basedOn w:val="Normal"/>
    <w:link w:val="TextodegloboCar"/>
    <w:uiPriority w:val="99"/>
    <w:semiHidden/>
    <w:unhideWhenUsed/>
    <w:rsid w:val="002425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25E4"/>
    <w:rPr>
      <w:rFonts w:ascii="Segoe UI" w:hAnsi="Segoe UI" w:cs="Segoe UI"/>
      <w:sz w:val="18"/>
      <w:szCs w:val="18"/>
    </w:rPr>
  </w:style>
  <w:style w:type="paragraph" w:styleId="Encabezado">
    <w:name w:val="header"/>
    <w:basedOn w:val="Normal"/>
    <w:link w:val="EncabezadoCar"/>
    <w:uiPriority w:val="99"/>
    <w:unhideWhenUsed/>
    <w:rsid w:val="006623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347"/>
  </w:style>
  <w:style w:type="paragraph" w:styleId="Piedepgina">
    <w:name w:val="footer"/>
    <w:basedOn w:val="Normal"/>
    <w:link w:val="PiedepginaCar"/>
    <w:uiPriority w:val="99"/>
    <w:unhideWhenUsed/>
    <w:rsid w:val="006623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885D-B40C-4CC6-B8DD-17050BA7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4380</Words>
  <Characters>24093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PC09_TJEZ</dc:creator>
  <cp:lastModifiedBy>HP2016_05</cp:lastModifiedBy>
  <cp:revision>6</cp:revision>
  <cp:lastPrinted>2016-11-15T20:42:00Z</cp:lastPrinted>
  <dcterms:created xsi:type="dcterms:W3CDTF">2016-11-15T16:50:00Z</dcterms:created>
  <dcterms:modified xsi:type="dcterms:W3CDTF">2016-11-15T20:54:00Z</dcterms:modified>
</cp:coreProperties>
</file>